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桐城师范高等专科学校2024级新生军训服装采购项目</w:t>
      </w:r>
      <w:bookmarkEnd w:id="0"/>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012</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23467"/>
      <w:bookmarkStart w:id="2" w:name="_Toc21464"/>
      <w:bookmarkStart w:id="3" w:name="_Toc54941328"/>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F40FE45">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28359011"/>
      <w:bookmarkStart w:id="7"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桐城师范高等专科学校2024级新生军训服装采购项目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的潜在供应商应在桐城师范高等专科学校官网获取采购文件，并于2024年7月24日9时00分（北京时间）前提交响应文件。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9" w:name="_Toc28359089"/>
      <w:bookmarkStart w:id="10" w:name="_Toc35393629"/>
      <w:bookmarkStart w:id="11" w:name="_Toc28359012"/>
      <w:bookmarkStart w:id="12" w:name="_Toc35393798"/>
      <w:r>
        <w:rPr>
          <w:rFonts w:hint="eastAsia" w:ascii="黑体" w:hAnsi="黑体" w:eastAsia="黑体" w:cs="宋体"/>
          <w:bCs/>
          <w:color w:val="auto"/>
          <w:sz w:val="28"/>
          <w:szCs w:val="28"/>
          <w:highlight w:val="none"/>
        </w:rPr>
        <w:t>一、项目基本情况</w:t>
      </w:r>
      <w:bookmarkEnd w:id="9"/>
      <w:bookmarkEnd w:id="10"/>
      <w:bookmarkEnd w:id="11"/>
      <w:bookmarkEnd w:id="12"/>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012</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桐城师范高等专科学校2024级新生军训服装采购项目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3" w:name="OLE_LINK2"/>
      <w:r>
        <w:rPr>
          <w:rFonts w:hint="eastAsia" w:ascii="仿宋" w:hAnsi="仿宋" w:eastAsia="仿宋"/>
          <w:color w:val="auto"/>
          <w:sz w:val="28"/>
          <w:szCs w:val="28"/>
          <w:highlight w:val="none"/>
          <w:lang w:val="en-US" w:eastAsia="zh-CN"/>
        </w:rPr>
        <w:t>100元/套</w:t>
      </w:r>
      <w:bookmarkEnd w:id="13"/>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100元/套</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桐城师范高等专科学校2024级新生军训服装采购项目，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4" w:name="_Toc28359013"/>
      <w:bookmarkStart w:id="15" w:name="_Toc35393630"/>
      <w:bookmarkStart w:id="16" w:name="_Toc28359090"/>
      <w:bookmarkStart w:id="17" w:name="_Toc35393799"/>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8" w:name="_Toc35393800"/>
      <w:bookmarkStart w:id="19" w:name="_Toc28359091"/>
      <w:bookmarkStart w:id="20" w:name="_Toc28359014"/>
      <w:bookmarkStart w:id="21" w:name="_Toc3539363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24</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2" w:name="_Toc28359092"/>
      <w:bookmarkStart w:id="23" w:name="_Toc35393632"/>
      <w:bookmarkStart w:id="24" w:name="_Toc28359015"/>
      <w:bookmarkStart w:id="25" w:name="_Toc35393801"/>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6" w:name="_Toc28359093"/>
      <w:bookmarkStart w:id="27" w:name="_Toc35393802"/>
      <w:bookmarkStart w:id="28" w:name="_Toc35393633"/>
      <w:bookmarkStart w:id="29"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24</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0" w:name="_Toc28359094"/>
      <w:bookmarkStart w:id="31" w:name="_Toc35393803"/>
      <w:bookmarkStart w:id="32" w:name="_Toc35393634"/>
      <w:bookmarkStart w:id="33" w:name="_Toc28359017"/>
      <w:r>
        <w:rPr>
          <w:rFonts w:hint="eastAsia" w:ascii="仿宋" w:hAnsi="仿宋" w:eastAsia="仿宋"/>
          <w:color w:val="auto"/>
          <w:sz w:val="28"/>
          <w:szCs w:val="28"/>
          <w:highlight w:val="none"/>
          <w:lang w:val="en-US" w:eastAsia="zh-CN"/>
        </w:rPr>
        <w:t>时间：2024年7月24日9时00分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w:t>
      </w:r>
      <w:bookmarkStart w:id="36" w:name="OLE_LINK4"/>
      <w:r>
        <w:rPr>
          <w:rFonts w:hint="eastAsia" w:ascii="仿宋" w:hAnsi="仿宋" w:eastAsia="仿宋" w:cs="Times New Roman"/>
          <w:color w:val="auto"/>
          <w:sz w:val="28"/>
          <w:szCs w:val="28"/>
          <w:highlight w:val="none"/>
          <w:lang w:val="en-US" w:eastAsia="zh-CN"/>
        </w:rPr>
        <w:t>安徽建方工程造价有限公司</w:t>
      </w:r>
      <w:bookmarkEnd w:id="36"/>
      <w:r>
        <w:rPr>
          <w:rFonts w:hint="eastAsia" w:ascii="仿宋" w:hAnsi="仿宋" w:eastAsia="仿宋" w:cs="Times New Roman"/>
          <w:color w:val="auto"/>
          <w:sz w:val="28"/>
          <w:szCs w:val="28"/>
          <w:highlight w:val="none"/>
          <w:lang w:val="en-US" w:eastAsia="zh-CN"/>
        </w:rPr>
        <w:t>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37" w:name="OLE_LINK3"/>
      <w:r>
        <w:rPr>
          <w:rFonts w:hint="eastAsia" w:ascii="仿宋" w:hAnsi="仿宋" w:eastAsia="仿宋" w:cs="Times New Roman"/>
          <w:color w:val="auto"/>
          <w:sz w:val="28"/>
          <w:szCs w:val="28"/>
          <w:highlight w:val="none"/>
          <w:lang w:val="en-US" w:eastAsia="zh-CN"/>
        </w:rPr>
        <w:t>桐城市龙眠东路261号</w:t>
      </w:r>
      <w:bookmarkEnd w:id="37"/>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bookmarkEnd w:id="8"/>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8" w:name="_Toc26069"/>
      <w:bookmarkStart w:id="39" w:name="_Toc54941329"/>
      <w:bookmarkStart w:id="40"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38"/>
      <w:bookmarkEnd w:id="39"/>
      <w:bookmarkEnd w:id="40"/>
    </w:p>
    <w:p w14:paraId="47ED1BFF">
      <w:pPr>
        <w:pStyle w:val="3"/>
        <w:rPr>
          <w:rFonts w:hint="eastAsia" w:eastAsia="宋体" w:cs="Tahoma"/>
          <w:bCs/>
          <w:color w:val="auto"/>
          <w:kern w:val="0"/>
          <w:sz w:val="32"/>
          <w:szCs w:val="32"/>
          <w:highlight w:val="none"/>
          <w:lang w:eastAsia="zh-CN"/>
        </w:rPr>
      </w:pPr>
      <w:bookmarkStart w:id="41" w:name="_Toc54941330"/>
      <w:bookmarkStart w:id="42" w:name="_Toc439316871"/>
      <w:bookmarkStart w:id="43"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1"/>
      <w:bookmarkEnd w:id="42"/>
      <w:bookmarkEnd w:id="43"/>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4"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5" w:name="_Toc54941331"/>
      <w:bookmarkStart w:id="46"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4"/>
      <w:bookmarkEnd w:id="45"/>
      <w:bookmarkEnd w:id="46"/>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7" w:name="_Toc25270"/>
      <w:bookmarkStart w:id="48" w:name="_Toc21078"/>
      <w:bookmarkStart w:id="49" w:name="_Toc15055"/>
      <w:bookmarkStart w:id="50" w:name="_Toc439316873"/>
      <w:bookmarkStart w:id="51" w:name="_Toc7325"/>
      <w:bookmarkStart w:id="52" w:name="_Toc439316919"/>
      <w:bookmarkStart w:id="53" w:name="_Toc10523"/>
      <w:r>
        <w:rPr>
          <w:rFonts w:hint="eastAsia" w:asciiTheme="minorEastAsia" w:hAnsiTheme="minorEastAsia" w:eastAsiaTheme="minorEastAsia" w:cstheme="minorEastAsia"/>
          <w:b/>
          <w:bCs/>
          <w:color w:val="auto"/>
          <w:sz w:val="24"/>
          <w:szCs w:val="24"/>
          <w:highlight w:val="none"/>
          <w:lang w:val="zh-CN"/>
        </w:rPr>
        <w:t>1、适用法律</w:t>
      </w:r>
      <w:bookmarkEnd w:id="47"/>
      <w:bookmarkEnd w:id="48"/>
      <w:bookmarkEnd w:id="49"/>
      <w:bookmarkEnd w:id="50"/>
      <w:bookmarkEnd w:id="51"/>
      <w:bookmarkEnd w:id="52"/>
      <w:bookmarkEnd w:id="53"/>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4" w:name="_Toc439316920"/>
      <w:bookmarkStart w:id="55" w:name="_Toc1704"/>
      <w:bookmarkStart w:id="56" w:name="_Toc27113"/>
      <w:bookmarkStart w:id="57" w:name="_Toc24643"/>
      <w:bookmarkStart w:id="58" w:name="_Toc8228"/>
      <w:bookmarkStart w:id="59" w:name="_Toc10933"/>
      <w:bookmarkStart w:id="60" w:name="_Toc439316874"/>
      <w:r>
        <w:rPr>
          <w:rFonts w:hint="eastAsia" w:asciiTheme="minorEastAsia" w:hAnsiTheme="minorEastAsia" w:eastAsiaTheme="minorEastAsia" w:cstheme="minorEastAsia"/>
          <w:b/>
          <w:bCs/>
          <w:color w:val="auto"/>
          <w:sz w:val="24"/>
          <w:szCs w:val="24"/>
          <w:highlight w:val="none"/>
          <w:lang w:val="zh-CN"/>
        </w:rPr>
        <w:t>2、定义</w:t>
      </w:r>
      <w:bookmarkEnd w:id="54"/>
      <w:bookmarkEnd w:id="55"/>
      <w:bookmarkEnd w:id="56"/>
      <w:bookmarkEnd w:id="57"/>
      <w:bookmarkEnd w:id="58"/>
      <w:bookmarkEnd w:id="59"/>
      <w:bookmarkEnd w:id="60"/>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1" w:name="_Toc439316875"/>
      <w:bookmarkStart w:id="62"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1"/>
      <w:bookmarkEnd w:id="62"/>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3"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3"/>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4" w:name="_Toc476584424"/>
      <w:bookmarkStart w:id="65"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4"/>
      <w:r>
        <w:rPr>
          <w:rFonts w:hint="eastAsia" w:asciiTheme="minorEastAsia" w:hAnsiTheme="minorEastAsia" w:eastAsiaTheme="minorEastAsia" w:cstheme="minorEastAsia"/>
          <w:color w:val="auto"/>
          <w:sz w:val="24"/>
          <w:szCs w:val="24"/>
          <w:highlight w:val="none"/>
        </w:rPr>
        <w:t>提交</w:t>
      </w:r>
      <w:bookmarkEnd w:id="65"/>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6" w:name="_Toc54941336"/>
      <w:bookmarkStart w:id="67"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6"/>
    <w:bookmarkEnd w:id="67"/>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8" w:name="_Toc476584426"/>
      <w:bookmarkStart w:id="69"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8"/>
      <w:bookmarkEnd w:id="69"/>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3E3C261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0" w:name="_Toc12353"/>
      <w:r>
        <w:rPr>
          <w:rFonts w:hint="eastAsia" w:ascii="Arial" w:hAnsi="Arial"/>
          <w:color w:val="auto"/>
          <w:kern w:val="2"/>
          <w:sz w:val="32"/>
          <w:szCs w:val="32"/>
          <w:highlight w:val="none"/>
          <w:lang w:val="en-US" w:eastAsia="zh-CN"/>
        </w:rPr>
        <w:t>第三章 采购需求</w:t>
      </w:r>
      <w:bookmarkEnd w:id="70"/>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1" w:name="_Toc16371"/>
      <w:r>
        <w:rPr>
          <w:rFonts w:hint="eastAsia" w:ascii="微软雅黑" w:hAnsi="微软雅黑" w:eastAsia="微软雅黑" w:cs="微软雅黑"/>
          <w:b/>
          <w:bCs/>
          <w:sz w:val="24"/>
          <w:szCs w:val="24"/>
        </w:rPr>
        <w:t>一、商务要求：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完成本项目所有内容并验收合格后按实结算</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1" w:firstLineChars="196"/>
        <w:textAlignment w:val="auto"/>
        <w:rPr>
          <w:bCs/>
          <w:sz w:val="24"/>
          <w:szCs w:val="24"/>
        </w:rPr>
      </w:pPr>
      <w:r>
        <w:rPr>
          <w:rFonts w:hint="eastAsia"/>
          <w:bCs/>
          <w:sz w:val="24"/>
          <w:szCs w:val="24"/>
          <w:lang w:val="en-US" w:eastAsia="zh-CN"/>
        </w:rPr>
        <w:t>项目</w:t>
      </w:r>
      <w:r>
        <w:rPr>
          <w:rFonts w:hint="eastAsia"/>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桐城师范高等专科学校需采购军训服装，拟采购军训服装</w:t>
      </w:r>
      <w:r>
        <w:rPr>
          <w:rFonts w:hint="eastAsia" w:asciiTheme="minorEastAsia" w:hAnsiTheme="minorEastAsia" w:eastAsiaTheme="minorEastAsia"/>
          <w:sz w:val="24"/>
          <w:lang w:val="en-US" w:eastAsia="zh-CN"/>
        </w:rPr>
        <w:t>210</w:t>
      </w:r>
      <w:r>
        <w:rPr>
          <w:rFonts w:hint="eastAsia" w:asciiTheme="minorEastAsia" w:hAnsiTheme="minorEastAsia" w:eastAsiaTheme="minorEastAsia"/>
          <w:sz w:val="24"/>
        </w:rPr>
        <w:t>0套（以实际发放数量为准）。</w:t>
      </w:r>
    </w:p>
    <w:p w14:paraId="18056CA8">
      <w:pPr>
        <w:keepNext w:val="0"/>
        <w:keepLines w:val="0"/>
        <w:pageBreakBefore w:val="0"/>
        <w:widowControl w:val="0"/>
        <w:numPr>
          <w:ilvl w:val="0"/>
          <w:numId w:val="3"/>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rPr>
        <w:t>质量要求和指标参数</w:t>
      </w:r>
    </w:p>
    <w:p w14:paraId="10983F38">
      <w:pPr>
        <w:numPr>
          <w:ilvl w:val="0"/>
          <w:numId w:val="4"/>
        </w:numPr>
        <w:spacing w:line="360" w:lineRule="auto"/>
        <w:ind w:leftChars="196"/>
        <w:rPr>
          <w:rFonts w:hint="eastAsia" w:asciiTheme="minorEastAsia" w:hAnsiTheme="minorEastAsia" w:eastAsiaTheme="minorEastAsia"/>
          <w:sz w:val="24"/>
        </w:rPr>
      </w:pPr>
      <w:r>
        <w:rPr>
          <w:rFonts w:hint="eastAsia" w:asciiTheme="minorEastAsia" w:hAnsiTheme="minorEastAsia" w:eastAsiaTheme="minorEastAsia"/>
          <w:sz w:val="24"/>
        </w:rPr>
        <w:t>产品符合国家的质量标准 GB18401《国家纺织产品基本安全技术规范》中B类产</w:t>
      </w:r>
    </w:p>
    <w:p w14:paraId="44F11546">
      <w:pPr>
        <w:numPr>
          <w:ilvl w:val="0"/>
          <w:numId w:val="0"/>
        </w:numPr>
        <w:spacing w:line="360" w:lineRule="auto"/>
        <w:rPr>
          <w:rFonts w:asciiTheme="minorEastAsia" w:hAnsiTheme="minorEastAsia" w:eastAsiaTheme="minorEastAsia"/>
          <w:sz w:val="24"/>
        </w:rPr>
      </w:pPr>
      <w:r>
        <w:rPr>
          <w:rFonts w:hint="eastAsia" w:asciiTheme="minorEastAsia" w:hAnsiTheme="minorEastAsia" w:eastAsiaTheme="minorEastAsia"/>
          <w:sz w:val="24"/>
        </w:rPr>
        <w:t>品规定的要求，不合格的面料或原材料不可用于制作工作服。</w:t>
      </w:r>
    </w:p>
    <w:tbl>
      <w:tblPr>
        <w:tblStyle w:val="39"/>
        <w:tblW w:w="8579" w:type="dxa"/>
        <w:jc w:val="center"/>
        <w:tblLayout w:type="autofit"/>
        <w:tblCellMar>
          <w:top w:w="0" w:type="dxa"/>
          <w:left w:w="108" w:type="dxa"/>
          <w:bottom w:w="0" w:type="dxa"/>
          <w:right w:w="108" w:type="dxa"/>
        </w:tblCellMar>
      </w:tblPr>
      <w:tblGrid>
        <w:gridCol w:w="3537"/>
        <w:gridCol w:w="3430"/>
        <w:gridCol w:w="1612"/>
      </w:tblGrid>
      <w:tr w14:paraId="29057E4F">
        <w:tblPrEx>
          <w:tblCellMar>
            <w:top w:w="0" w:type="dxa"/>
            <w:left w:w="108" w:type="dxa"/>
            <w:bottom w:w="0" w:type="dxa"/>
            <w:right w:w="108" w:type="dxa"/>
          </w:tblCellMar>
        </w:tblPrEx>
        <w:trPr>
          <w:trHeight w:val="474" w:hRule="atLeast"/>
          <w:jc w:val="center"/>
        </w:trPr>
        <w:tc>
          <w:tcPr>
            <w:tcW w:w="6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1113FA0">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项   目</w:t>
            </w:r>
          </w:p>
        </w:tc>
        <w:tc>
          <w:tcPr>
            <w:tcW w:w="1612" w:type="dxa"/>
            <w:tcBorders>
              <w:top w:val="single" w:color="auto" w:sz="4" w:space="0"/>
              <w:left w:val="nil"/>
              <w:bottom w:val="single" w:color="auto" w:sz="4" w:space="0"/>
              <w:right w:val="single" w:color="auto" w:sz="4" w:space="0"/>
            </w:tcBorders>
            <w:shd w:val="clear" w:color="auto" w:fill="auto"/>
            <w:vAlign w:val="center"/>
          </w:tcPr>
          <w:p w14:paraId="277C1906">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B类标准</w:t>
            </w:r>
          </w:p>
        </w:tc>
      </w:tr>
      <w:tr w14:paraId="2A56C7E5">
        <w:tblPrEx>
          <w:tblCellMar>
            <w:top w:w="0" w:type="dxa"/>
            <w:left w:w="108" w:type="dxa"/>
            <w:bottom w:w="0" w:type="dxa"/>
            <w:right w:w="108" w:type="dxa"/>
          </w:tblCellMar>
        </w:tblPrEx>
        <w:trPr>
          <w:trHeight w:val="474" w:hRule="atLeast"/>
          <w:jc w:val="center"/>
        </w:trPr>
        <w:tc>
          <w:tcPr>
            <w:tcW w:w="6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D13B7D3">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甲醛含量（mg/kg）≤</w:t>
            </w:r>
          </w:p>
        </w:tc>
        <w:tc>
          <w:tcPr>
            <w:tcW w:w="1612" w:type="dxa"/>
            <w:tcBorders>
              <w:top w:val="nil"/>
              <w:left w:val="nil"/>
              <w:bottom w:val="single" w:color="auto" w:sz="4" w:space="0"/>
              <w:right w:val="single" w:color="auto" w:sz="4" w:space="0"/>
            </w:tcBorders>
            <w:shd w:val="clear" w:color="auto" w:fill="auto"/>
            <w:vAlign w:val="center"/>
          </w:tcPr>
          <w:p w14:paraId="36D92A59">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75</w:t>
            </w:r>
          </w:p>
        </w:tc>
      </w:tr>
      <w:tr w14:paraId="4C50C019">
        <w:tblPrEx>
          <w:tblCellMar>
            <w:top w:w="0" w:type="dxa"/>
            <w:left w:w="108" w:type="dxa"/>
            <w:bottom w:w="0" w:type="dxa"/>
            <w:right w:w="108" w:type="dxa"/>
          </w:tblCellMar>
        </w:tblPrEx>
        <w:trPr>
          <w:trHeight w:val="474" w:hRule="atLeast"/>
          <w:jc w:val="center"/>
        </w:trPr>
        <w:tc>
          <w:tcPr>
            <w:tcW w:w="6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02A96D">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PH值</w:t>
            </w:r>
          </w:p>
        </w:tc>
        <w:tc>
          <w:tcPr>
            <w:tcW w:w="1612" w:type="dxa"/>
            <w:tcBorders>
              <w:top w:val="nil"/>
              <w:left w:val="nil"/>
              <w:bottom w:val="single" w:color="auto" w:sz="4" w:space="0"/>
              <w:right w:val="single" w:color="auto" w:sz="4" w:space="0"/>
            </w:tcBorders>
            <w:shd w:val="clear" w:color="auto" w:fill="auto"/>
            <w:vAlign w:val="center"/>
          </w:tcPr>
          <w:p w14:paraId="0E5AD0DE">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4.0~7.5</w:t>
            </w:r>
          </w:p>
        </w:tc>
      </w:tr>
      <w:tr w14:paraId="4B9CE3BF">
        <w:tblPrEx>
          <w:tblCellMar>
            <w:top w:w="0" w:type="dxa"/>
            <w:left w:w="108" w:type="dxa"/>
            <w:bottom w:w="0" w:type="dxa"/>
            <w:right w:w="108" w:type="dxa"/>
          </w:tblCellMar>
        </w:tblPrEx>
        <w:trPr>
          <w:trHeight w:val="737" w:hRule="atLeast"/>
          <w:jc w:val="center"/>
        </w:trPr>
        <w:tc>
          <w:tcPr>
            <w:tcW w:w="3537" w:type="dxa"/>
            <w:vMerge w:val="restart"/>
            <w:tcBorders>
              <w:top w:val="nil"/>
              <w:left w:val="single" w:color="auto" w:sz="4" w:space="0"/>
              <w:bottom w:val="single" w:color="auto" w:sz="4" w:space="0"/>
              <w:right w:val="single" w:color="auto" w:sz="4" w:space="0"/>
            </w:tcBorders>
            <w:shd w:val="clear" w:color="auto" w:fill="auto"/>
            <w:vAlign w:val="center"/>
          </w:tcPr>
          <w:p w14:paraId="58DA66AC">
            <w:pPr>
              <w:widowControl/>
              <w:jc w:val="both"/>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色牢度/ 级 ≥</w:t>
            </w:r>
          </w:p>
        </w:tc>
        <w:tc>
          <w:tcPr>
            <w:tcW w:w="3430" w:type="dxa"/>
            <w:tcBorders>
              <w:top w:val="nil"/>
              <w:left w:val="nil"/>
              <w:bottom w:val="single" w:color="auto" w:sz="4" w:space="0"/>
              <w:right w:val="single" w:color="auto" w:sz="4" w:space="0"/>
            </w:tcBorders>
            <w:shd w:val="clear" w:color="auto" w:fill="auto"/>
            <w:vAlign w:val="center"/>
          </w:tcPr>
          <w:p w14:paraId="2BAE976A">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耐水（变色、沾色）</w:t>
            </w:r>
          </w:p>
        </w:tc>
        <w:tc>
          <w:tcPr>
            <w:tcW w:w="1612" w:type="dxa"/>
            <w:tcBorders>
              <w:top w:val="nil"/>
              <w:left w:val="nil"/>
              <w:bottom w:val="single" w:color="auto" w:sz="4" w:space="0"/>
              <w:right w:val="single" w:color="auto" w:sz="4" w:space="0"/>
            </w:tcBorders>
            <w:shd w:val="clear" w:color="auto" w:fill="auto"/>
            <w:vAlign w:val="center"/>
          </w:tcPr>
          <w:p w14:paraId="05FF161B">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r>
      <w:tr w14:paraId="40633B47">
        <w:tblPrEx>
          <w:tblCellMar>
            <w:top w:w="0" w:type="dxa"/>
            <w:left w:w="108" w:type="dxa"/>
            <w:bottom w:w="0" w:type="dxa"/>
            <w:right w:w="108" w:type="dxa"/>
          </w:tblCellMar>
        </w:tblPrEx>
        <w:trPr>
          <w:trHeight w:val="737" w:hRule="atLeast"/>
          <w:jc w:val="center"/>
        </w:trPr>
        <w:tc>
          <w:tcPr>
            <w:tcW w:w="3537" w:type="dxa"/>
            <w:vMerge w:val="continue"/>
            <w:tcBorders>
              <w:top w:val="nil"/>
              <w:left w:val="single" w:color="auto" w:sz="4" w:space="0"/>
              <w:bottom w:val="single" w:color="auto" w:sz="4" w:space="0"/>
              <w:right w:val="single" w:color="auto" w:sz="4" w:space="0"/>
            </w:tcBorders>
            <w:vAlign w:val="center"/>
          </w:tcPr>
          <w:p w14:paraId="59C3127C">
            <w:pPr>
              <w:widowControl/>
              <w:jc w:val="left"/>
              <w:rPr>
                <w:rFonts w:ascii="宋体" w:hAnsi="宋体" w:cs="宋体"/>
                <w:color w:val="000000" w:themeColor="text1"/>
                <w:kern w:val="0"/>
                <w:sz w:val="24"/>
                <w14:textFill>
                  <w14:solidFill>
                    <w14:schemeClr w14:val="tx1"/>
                  </w14:solidFill>
                </w14:textFill>
              </w:rPr>
            </w:pPr>
          </w:p>
        </w:tc>
        <w:tc>
          <w:tcPr>
            <w:tcW w:w="3430" w:type="dxa"/>
            <w:tcBorders>
              <w:top w:val="nil"/>
              <w:left w:val="nil"/>
              <w:bottom w:val="single" w:color="auto" w:sz="4" w:space="0"/>
              <w:right w:val="single" w:color="auto" w:sz="4" w:space="0"/>
            </w:tcBorders>
            <w:shd w:val="clear" w:color="auto" w:fill="auto"/>
            <w:vAlign w:val="center"/>
          </w:tcPr>
          <w:p w14:paraId="3F690834">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耐酸汗渍（变色、沾色）</w:t>
            </w:r>
          </w:p>
        </w:tc>
        <w:tc>
          <w:tcPr>
            <w:tcW w:w="1612" w:type="dxa"/>
            <w:tcBorders>
              <w:top w:val="nil"/>
              <w:left w:val="nil"/>
              <w:bottom w:val="single" w:color="auto" w:sz="4" w:space="0"/>
              <w:right w:val="single" w:color="auto" w:sz="4" w:space="0"/>
            </w:tcBorders>
            <w:shd w:val="clear" w:color="auto" w:fill="auto"/>
            <w:vAlign w:val="center"/>
          </w:tcPr>
          <w:p w14:paraId="562502FF">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r>
      <w:tr w14:paraId="0E1A4ACC">
        <w:tblPrEx>
          <w:tblCellMar>
            <w:top w:w="0" w:type="dxa"/>
            <w:left w:w="108" w:type="dxa"/>
            <w:bottom w:w="0" w:type="dxa"/>
            <w:right w:w="108" w:type="dxa"/>
          </w:tblCellMar>
        </w:tblPrEx>
        <w:trPr>
          <w:trHeight w:val="737" w:hRule="atLeast"/>
          <w:jc w:val="center"/>
        </w:trPr>
        <w:tc>
          <w:tcPr>
            <w:tcW w:w="3537" w:type="dxa"/>
            <w:vMerge w:val="continue"/>
            <w:tcBorders>
              <w:top w:val="nil"/>
              <w:left w:val="single" w:color="auto" w:sz="4" w:space="0"/>
              <w:bottom w:val="single" w:color="auto" w:sz="4" w:space="0"/>
              <w:right w:val="single" w:color="auto" w:sz="4" w:space="0"/>
            </w:tcBorders>
            <w:vAlign w:val="center"/>
          </w:tcPr>
          <w:p w14:paraId="62BAA317">
            <w:pPr>
              <w:widowControl/>
              <w:jc w:val="left"/>
              <w:rPr>
                <w:rFonts w:ascii="宋体" w:hAnsi="宋体" w:cs="宋体"/>
                <w:color w:val="000000" w:themeColor="text1"/>
                <w:kern w:val="0"/>
                <w:sz w:val="24"/>
                <w14:textFill>
                  <w14:solidFill>
                    <w14:schemeClr w14:val="tx1"/>
                  </w14:solidFill>
                </w14:textFill>
              </w:rPr>
            </w:pPr>
          </w:p>
        </w:tc>
        <w:tc>
          <w:tcPr>
            <w:tcW w:w="3430" w:type="dxa"/>
            <w:tcBorders>
              <w:top w:val="nil"/>
              <w:left w:val="nil"/>
              <w:bottom w:val="single" w:color="auto" w:sz="4" w:space="0"/>
              <w:right w:val="single" w:color="auto" w:sz="4" w:space="0"/>
            </w:tcBorders>
            <w:shd w:val="clear" w:color="auto" w:fill="auto"/>
            <w:vAlign w:val="center"/>
          </w:tcPr>
          <w:p w14:paraId="43D20D03">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耐碱汗渍（变色、沾色）</w:t>
            </w:r>
          </w:p>
        </w:tc>
        <w:tc>
          <w:tcPr>
            <w:tcW w:w="1612" w:type="dxa"/>
            <w:tcBorders>
              <w:top w:val="nil"/>
              <w:left w:val="nil"/>
              <w:bottom w:val="single" w:color="auto" w:sz="4" w:space="0"/>
              <w:right w:val="single" w:color="auto" w:sz="4" w:space="0"/>
            </w:tcBorders>
            <w:shd w:val="clear" w:color="auto" w:fill="auto"/>
            <w:vAlign w:val="center"/>
          </w:tcPr>
          <w:p w14:paraId="3AB53DCC">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r>
      <w:tr w14:paraId="4654029A">
        <w:tblPrEx>
          <w:tblCellMar>
            <w:top w:w="0" w:type="dxa"/>
            <w:left w:w="108" w:type="dxa"/>
            <w:bottom w:w="0" w:type="dxa"/>
            <w:right w:w="108" w:type="dxa"/>
          </w:tblCellMar>
        </w:tblPrEx>
        <w:trPr>
          <w:trHeight w:val="474" w:hRule="atLeast"/>
          <w:jc w:val="center"/>
        </w:trPr>
        <w:tc>
          <w:tcPr>
            <w:tcW w:w="3537" w:type="dxa"/>
            <w:vMerge w:val="continue"/>
            <w:tcBorders>
              <w:top w:val="nil"/>
              <w:left w:val="single" w:color="auto" w:sz="4" w:space="0"/>
              <w:bottom w:val="single" w:color="auto" w:sz="4" w:space="0"/>
              <w:right w:val="single" w:color="auto" w:sz="4" w:space="0"/>
            </w:tcBorders>
            <w:vAlign w:val="center"/>
          </w:tcPr>
          <w:p w14:paraId="3D72AB71">
            <w:pPr>
              <w:widowControl/>
              <w:jc w:val="left"/>
              <w:rPr>
                <w:rFonts w:ascii="宋体" w:hAnsi="宋体" w:cs="宋体"/>
                <w:color w:val="000000" w:themeColor="text1"/>
                <w:kern w:val="0"/>
                <w:sz w:val="24"/>
                <w14:textFill>
                  <w14:solidFill>
                    <w14:schemeClr w14:val="tx1"/>
                  </w14:solidFill>
                </w14:textFill>
              </w:rPr>
            </w:pPr>
          </w:p>
        </w:tc>
        <w:tc>
          <w:tcPr>
            <w:tcW w:w="3430" w:type="dxa"/>
            <w:tcBorders>
              <w:top w:val="nil"/>
              <w:left w:val="nil"/>
              <w:bottom w:val="single" w:color="auto" w:sz="4" w:space="0"/>
              <w:right w:val="single" w:color="auto" w:sz="4" w:space="0"/>
            </w:tcBorders>
            <w:shd w:val="clear" w:color="auto" w:fill="auto"/>
            <w:vAlign w:val="center"/>
          </w:tcPr>
          <w:p w14:paraId="49EC93EB">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耐干摩擦</w:t>
            </w:r>
          </w:p>
        </w:tc>
        <w:tc>
          <w:tcPr>
            <w:tcW w:w="1612" w:type="dxa"/>
            <w:tcBorders>
              <w:top w:val="nil"/>
              <w:left w:val="nil"/>
              <w:bottom w:val="single" w:color="auto" w:sz="4" w:space="0"/>
              <w:right w:val="single" w:color="auto" w:sz="4" w:space="0"/>
            </w:tcBorders>
            <w:shd w:val="clear" w:color="auto" w:fill="auto"/>
            <w:vAlign w:val="center"/>
          </w:tcPr>
          <w:p w14:paraId="56FA86BC">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r>
      <w:tr w14:paraId="1A6BF40C">
        <w:tblPrEx>
          <w:tblCellMar>
            <w:top w:w="0" w:type="dxa"/>
            <w:left w:w="108" w:type="dxa"/>
            <w:bottom w:w="0" w:type="dxa"/>
            <w:right w:w="108" w:type="dxa"/>
          </w:tblCellMar>
        </w:tblPrEx>
        <w:trPr>
          <w:trHeight w:val="737" w:hRule="atLeast"/>
          <w:jc w:val="center"/>
        </w:trPr>
        <w:tc>
          <w:tcPr>
            <w:tcW w:w="3537" w:type="dxa"/>
            <w:vMerge w:val="continue"/>
            <w:tcBorders>
              <w:top w:val="nil"/>
              <w:left w:val="single" w:color="auto" w:sz="4" w:space="0"/>
              <w:bottom w:val="single" w:color="auto" w:sz="4" w:space="0"/>
              <w:right w:val="single" w:color="auto" w:sz="4" w:space="0"/>
            </w:tcBorders>
            <w:vAlign w:val="center"/>
          </w:tcPr>
          <w:p w14:paraId="2F7DBC16">
            <w:pPr>
              <w:widowControl/>
              <w:jc w:val="left"/>
              <w:rPr>
                <w:rFonts w:ascii="宋体" w:hAnsi="宋体" w:cs="宋体"/>
                <w:color w:val="000000" w:themeColor="text1"/>
                <w:kern w:val="0"/>
                <w:sz w:val="24"/>
                <w14:textFill>
                  <w14:solidFill>
                    <w14:schemeClr w14:val="tx1"/>
                  </w14:solidFill>
                </w14:textFill>
              </w:rPr>
            </w:pPr>
          </w:p>
        </w:tc>
        <w:tc>
          <w:tcPr>
            <w:tcW w:w="3430" w:type="dxa"/>
            <w:tcBorders>
              <w:top w:val="nil"/>
              <w:left w:val="nil"/>
              <w:bottom w:val="single" w:color="auto" w:sz="4" w:space="0"/>
              <w:right w:val="single" w:color="auto" w:sz="4" w:space="0"/>
            </w:tcBorders>
            <w:shd w:val="clear" w:color="auto" w:fill="auto"/>
            <w:vAlign w:val="center"/>
          </w:tcPr>
          <w:p w14:paraId="5FB5F4AF">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耐唾液（变色、沾色）</w:t>
            </w:r>
          </w:p>
        </w:tc>
        <w:tc>
          <w:tcPr>
            <w:tcW w:w="1612" w:type="dxa"/>
            <w:tcBorders>
              <w:top w:val="nil"/>
              <w:left w:val="nil"/>
              <w:bottom w:val="single" w:color="auto" w:sz="4" w:space="0"/>
              <w:right w:val="single" w:color="auto" w:sz="4" w:space="0"/>
            </w:tcBorders>
            <w:shd w:val="clear" w:color="auto" w:fill="auto"/>
            <w:vAlign w:val="center"/>
          </w:tcPr>
          <w:p w14:paraId="359D8671">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w:t>
            </w:r>
          </w:p>
        </w:tc>
      </w:tr>
      <w:tr w14:paraId="314C98BC">
        <w:tblPrEx>
          <w:tblCellMar>
            <w:top w:w="0" w:type="dxa"/>
            <w:left w:w="108" w:type="dxa"/>
            <w:bottom w:w="0" w:type="dxa"/>
            <w:right w:w="108" w:type="dxa"/>
          </w:tblCellMar>
        </w:tblPrEx>
        <w:trPr>
          <w:trHeight w:val="474" w:hRule="atLeast"/>
          <w:jc w:val="center"/>
        </w:trPr>
        <w:tc>
          <w:tcPr>
            <w:tcW w:w="6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CEB603">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异味</w:t>
            </w:r>
          </w:p>
        </w:tc>
        <w:tc>
          <w:tcPr>
            <w:tcW w:w="1612" w:type="dxa"/>
            <w:tcBorders>
              <w:top w:val="nil"/>
              <w:left w:val="nil"/>
              <w:bottom w:val="single" w:color="auto" w:sz="4" w:space="0"/>
              <w:right w:val="single" w:color="auto" w:sz="4" w:space="0"/>
            </w:tcBorders>
            <w:shd w:val="clear" w:color="auto" w:fill="auto"/>
            <w:vAlign w:val="center"/>
          </w:tcPr>
          <w:p w14:paraId="3A60AD4E">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无</w:t>
            </w:r>
          </w:p>
        </w:tc>
      </w:tr>
      <w:tr w14:paraId="6CFD57AA">
        <w:tblPrEx>
          <w:tblCellMar>
            <w:top w:w="0" w:type="dxa"/>
            <w:left w:w="108" w:type="dxa"/>
            <w:bottom w:w="0" w:type="dxa"/>
            <w:right w:w="108" w:type="dxa"/>
          </w:tblCellMar>
        </w:tblPrEx>
        <w:trPr>
          <w:trHeight w:val="540" w:hRule="atLeast"/>
          <w:jc w:val="center"/>
        </w:trPr>
        <w:tc>
          <w:tcPr>
            <w:tcW w:w="69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CC8C526">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可分解芳香胺染料</w:t>
            </w:r>
          </w:p>
        </w:tc>
        <w:tc>
          <w:tcPr>
            <w:tcW w:w="1612" w:type="dxa"/>
            <w:tcBorders>
              <w:top w:val="nil"/>
              <w:left w:val="nil"/>
              <w:bottom w:val="single" w:color="auto" w:sz="4" w:space="0"/>
              <w:right w:val="single" w:color="auto" w:sz="4" w:space="0"/>
            </w:tcBorders>
            <w:shd w:val="clear" w:color="auto" w:fill="auto"/>
            <w:vAlign w:val="center"/>
          </w:tcPr>
          <w:p w14:paraId="35765555">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禁用</w:t>
            </w:r>
          </w:p>
        </w:tc>
      </w:tr>
    </w:tbl>
    <w:p w14:paraId="2A7BD176">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 每套军训服装标准为短袖T恤、长袖上衣、长裤、军训帽、军训鞋、内腰带、外腰带。具体如下：</w:t>
      </w:r>
    </w:p>
    <w:tbl>
      <w:tblPr>
        <w:tblStyle w:val="39"/>
        <w:tblW w:w="9212" w:type="dxa"/>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988"/>
        <w:gridCol w:w="1407"/>
        <w:gridCol w:w="4670"/>
        <w:gridCol w:w="1029"/>
        <w:gridCol w:w="1118"/>
      </w:tblGrid>
      <w:tr w14:paraId="4FEBC8DD">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68" w:hRule="atLeast"/>
          <w:jc w:val="center"/>
        </w:trPr>
        <w:tc>
          <w:tcPr>
            <w:tcW w:w="2395" w:type="dxa"/>
            <w:gridSpan w:val="2"/>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39CA5FC1">
            <w:pPr>
              <w:widowControl/>
              <w:jc w:val="center"/>
              <w:rPr>
                <w:rFonts w:cs="宋体" w:asciiTheme="minorEastAsia" w:hAnsiTheme="minorEastAsia" w:eastAsiaTheme="minorEastAsia"/>
                <w:b/>
                <w:kern w:val="0"/>
                <w:sz w:val="24"/>
                <w:szCs w:val="24"/>
              </w:rPr>
            </w:pPr>
            <w:r>
              <w:rPr>
                <w:rFonts w:hint="eastAsia" w:cs="宋体" w:asciiTheme="minorEastAsia" w:hAnsiTheme="minorEastAsia" w:eastAsiaTheme="minorEastAsia"/>
                <w:b/>
                <w:kern w:val="0"/>
                <w:sz w:val="24"/>
                <w:szCs w:val="24"/>
              </w:rPr>
              <w:t>名称</w:t>
            </w:r>
          </w:p>
        </w:tc>
        <w:tc>
          <w:tcPr>
            <w:tcW w:w="4670" w:type="dxa"/>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A58EFCB">
            <w:pPr>
              <w:widowControl/>
              <w:jc w:val="center"/>
              <w:rPr>
                <w:rFonts w:cs="宋体" w:asciiTheme="minorEastAsia" w:hAnsiTheme="minorEastAsia" w:eastAsiaTheme="minorEastAsia"/>
                <w:b/>
                <w:kern w:val="0"/>
                <w:sz w:val="24"/>
                <w:szCs w:val="24"/>
              </w:rPr>
            </w:pPr>
            <w:r>
              <w:rPr>
                <w:rFonts w:hint="eastAsia" w:cs="宋体" w:asciiTheme="minorEastAsia" w:hAnsiTheme="minorEastAsia" w:eastAsiaTheme="minorEastAsia"/>
                <w:b/>
                <w:kern w:val="0"/>
                <w:sz w:val="24"/>
                <w:szCs w:val="24"/>
              </w:rPr>
              <w:t>材质要求</w:t>
            </w:r>
          </w:p>
        </w:tc>
        <w:tc>
          <w:tcPr>
            <w:tcW w:w="1029" w:type="dxa"/>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89AF202">
            <w:pPr>
              <w:widowControl/>
              <w:jc w:val="center"/>
              <w:rPr>
                <w:rFonts w:hint="eastAsia" w:cs="宋体" w:asciiTheme="minorEastAsia" w:hAnsiTheme="minorEastAsia" w:eastAsiaTheme="minorEastAsia"/>
                <w:b/>
                <w:kern w:val="0"/>
                <w:sz w:val="24"/>
                <w:szCs w:val="24"/>
                <w:lang w:eastAsia="zh-CN"/>
              </w:rPr>
            </w:pPr>
            <w:r>
              <w:rPr>
                <w:rFonts w:hint="eastAsia" w:cs="宋体" w:asciiTheme="minorEastAsia" w:hAnsiTheme="minorEastAsia" w:eastAsiaTheme="minorEastAsia"/>
                <w:b/>
                <w:kern w:val="0"/>
                <w:sz w:val="24"/>
                <w:szCs w:val="24"/>
                <w:lang w:val="en-US" w:eastAsia="zh-CN"/>
              </w:rPr>
              <w:t>数量</w:t>
            </w:r>
          </w:p>
        </w:tc>
        <w:tc>
          <w:tcPr>
            <w:tcW w:w="1118" w:type="dxa"/>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4ED2C5CC">
            <w:pPr>
              <w:widowControl/>
              <w:jc w:val="center"/>
              <w:rPr>
                <w:rFonts w:hint="default" w:cs="宋体" w:asciiTheme="minorEastAsia" w:hAnsiTheme="minorEastAsia" w:eastAsiaTheme="minorEastAsia"/>
                <w:b/>
                <w:kern w:val="0"/>
                <w:sz w:val="24"/>
                <w:szCs w:val="24"/>
                <w:lang w:val="en-US" w:eastAsia="zh-CN"/>
              </w:rPr>
            </w:pPr>
            <w:r>
              <w:rPr>
                <w:rFonts w:hint="eastAsia" w:cs="宋体" w:asciiTheme="minorEastAsia" w:hAnsiTheme="minorEastAsia" w:eastAsiaTheme="minorEastAsia"/>
                <w:b/>
                <w:kern w:val="0"/>
                <w:sz w:val="24"/>
                <w:szCs w:val="24"/>
                <w:lang w:val="en-US" w:eastAsia="zh-CN"/>
              </w:rPr>
              <w:t>单位</w:t>
            </w:r>
          </w:p>
        </w:tc>
      </w:tr>
      <w:tr w14:paraId="44981490">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199" w:hRule="atLeast"/>
          <w:jc w:val="center"/>
        </w:trPr>
        <w:tc>
          <w:tcPr>
            <w:tcW w:w="988" w:type="dxa"/>
            <w:vMerge w:val="restart"/>
            <w:tcBorders>
              <w:left w:val="single" w:color="000000" w:sz="6" w:space="0"/>
              <w:right w:val="single" w:color="000000" w:sz="6" w:space="0"/>
            </w:tcBorders>
            <w:tcMar>
              <w:top w:w="15" w:type="dxa"/>
              <w:left w:w="15" w:type="dxa"/>
              <w:bottom w:w="15" w:type="dxa"/>
              <w:right w:w="15" w:type="dxa"/>
            </w:tcMar>
            <w:vAlign w:val="center"/>
          </w:tcPr>
          <w:p w14:paraId="25DF0109">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军训</w:t>
            </w:r>
          </w:p>
          <w:p w14:paraId="0F1FD4DC">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服装</w:t>
            </w:r>
          </w:p>
        </w:tc>
        <w:tc>
          <w:tcPr>
            <w:tcW w:w="140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5E0B697">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长袖上衣</w:t>
            </w:r>
          </w:p>
        </w:tc>
        <w:tc>
          <w:tcPr>
            <w:tcW w:w="4670"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CB66878">
            <w:pPr>
              <w:jc w:val="both"/>
              <w:rPr>
                <w:rFonts w:hint="eastAsia" w:cs="Arial" w:asciiTheme="minorEastAsia" w:hAnsiTheme="minorEastAsia" w:eastAsiaTheme="minorEastAsia"/>
                <w:color w:val="000000"/>
                <w:kern w:val="0"/>
                <w:sz w:val="24"/>
                <w:szCs w:val="24"/>
              </w:rPr>
            </w:pPr>
            <w:r>
              <w:rPr>
                <w:rFonts w:hint="eastAsia" w:asciiTheme="minorEastAsia" w:hAnsiTheme="minorEastAsia" w:eastAsiaTheme="minorEastAsia"/>
                <w:sz w:val="24"/>
                <w:szCs w:val="24"/>
              </w:rPr>
              <w:t>1.涤棉混纺织物，其中棉含量</w:t>
            </w:r>
            <w:r>
              <w:rPr>
                <w:rFonts w:hint="eastAsia" w:cs="Arial" w:asciiTheme="minorEastAsia" w:hAnsiTheme="minorEastAsia" w:eastAsiaTheme="minorEastAsia"/>
                <w:color w:val="000000"/>
                <w:kern w:val="0"/>
                <w:sz w:val="24"/>
                <w:szCs w:val="24"/>
              </w:rPr>
              <w:t>≥ 20%</w:t>
            </w:r>
          </w:p>
          <w:p w14:paraId="7722FCD4">
            <w:pPr>
              <w:jc w:val="both"/>
              <w:rPr>
                <w:rFonts w:cs="Arial" w:asciiTheme="minorEastAsia" w:hAnsiTheme="minorEastAsia" w:eastAsiaTheme="minorEastAsia"/>
                <w:color w:val="000000"/>
                <w:kern w:val="0"/>
                <w:sz w:val="24"/>
                <w:szCs w:val="24"/>
              </w:rPr>
            </w:pPr>
            <w:r>
              <w:rPr>
                <w:rFonts w:hint="eastAsia" w:cs="Arial" w:asciiTheme="minorEastAsia" w:hAnsiTheme="minorEastAsia" w:eastAsiaTheme="minorEastAsia"/>
                <w:color w:val="000000"/>
                <w:kern w:val="0"/>
                <w:sz w:val="24"/>
                <w:szCs w:val="24"/>
              </w:rPr>
              <w:t>2. 产品符合GB18401-B类</w:t>
            </w:r>
          </w:p>
          <w:p w14:paraId="71BD9C8A">
            <w:pPr>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3.款式、颜色：海洋迷彩</w:t>
            </w:r>
          </w:p>
        </w:tc>
        <w:tc>
          <w:tcPr>
            <w:tcW w:w="1029" w:type="dxa"/>
            <w:tcBorders>
              <w:left w:val="single" w:color="000000" w:sz="6" w:space="0"/>
              <w:bottom w:val="single" w:color="auto" w:sz="4" w:space="0"/>
              <w:right w:val="single" w:color="000000" w:sz="6" w:space="0"/>
            </w:tcBorders>
            <w:tcMar>
              <w:top w:w="15" w:type="dxa"/>
              <w:left w:w="15" w:type="dxa"/>
              <w:bottom w:w="15" w:type="dxa"/>
              <w:right w:w="15" w:type="dxa"/>
            </w:tcMar>
            <w:vAlign w:val="center"/>
          </w:tcPr>
          <w:p w14:paraId="48BDA04F">
            <w:pPr>
              <w:spacing w:line="360" w:lineRule="auto"/>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1</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7A7C4C31">
            <w:pPr>
              <w:spacing w:line="360" w:lineRule="auto"/>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件</w:t>
            </w:r>
          </w:p>
        </w:tc>
      </w:tr>
      <w:tr w14:paraId="00E0334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114" w:hRule="atLeast"/>
          <w:jc w:val="center"/>
        </w:trPr>
        <w:tc>
          <w:tcPr>
            <w:tcW w:w="988" w:type="dxa"/>
            <w:vMerge w:val="continue"/>
            <w:tcBorders>
              <w:left w:val="single" w:color="000000" w:sz="6" w:space="0"/>
              <w:right w:val="single" w:color="000000" w:sz="6" w:space="0"/>
            </w:tcBorders>
            <w:tcMar>
              <w:top w:w="15" w:type="dxa"/>
              <w:left w:w="15" w:type="dxa"/>
              <w:bottom w:w="15" w:type="dxa"/>
              <w:right w:w="15" w:type="dxa"/>
            </w:tcMar>
            <w:vAlign w:val="center"/>
          </w:tcPr>
          <w:p w14:paraId="60BBE414">
            <w:pPr>
              <w:jc w:val="center"/>
              <w:rPr>
                <w:rFonts w:asciiTheme="minorEastAsia" w:hAnsiTheme="minorEastAsia" w:eastAsiaTheme="minorEastAsia"/>
                <w:sz w:val="24"/>
                <w:szCs w:val="24"/>
              </w:rPr>
            </w:pPr>
          </w:p>
        </w:tc>
        <w:tc>
          <w:tcPr>
            <w:tcW w:w="140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76873CF">
            <w:pPr>
              <w:jc w:val="center"/>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长裤</w:t>
            </w:r>
          </w:p>
        </w:tc>
        <w:tc>
          <w:tcPr>
            <w:tcW w:w="4670"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763FB3B">
            <w:pPr>
              <w:jc w:val="both"/>
              <w:rPr>
                <w:rFonts w:cs="Arial" w:asciiTheme="minorEastAsia" w:hAnsiTheme="minorEastAsia" w:eastAsiaTheme="minorEastAsia"/>
                <w:color w:val="000000"/>
                <w:kern w:val="0"/>
                <w:sz w:val="24"/>
                <w:szCs w:val="24"/>
              </w:rPr>
            </w:pPr>
            <w:r>
              <w:rPr>
                <w:rFonts w:hint="eastAsia" w:asciiTheme="minorEastAsia" w:hAnsiTheme="minorEastAsia" w:eastAsiaTheme="minorEastAsia"/>
                <w:sz w:val="24"/>
                <w:szCs w:val="24"/>
              </w:rPr>
              <w:t>1.涤棉混纺织物，其中棉含量</w:t>
            </w:r>
            <w:r>
              <w:rPr>
                <w:rFonts w:hint="eastAsia" w:cs="Arial" w:asciiTheme="minorEastAsia" w:hAnsiTheme="minorEastAsia" w:eastAsiaTheme="minorEastAsia"/>
                <w:color w:val="000000"/>
                <w:kern w:val="0"/>
                <w:sz w:val="24"/>
                <w:szCs w:val="24"/>
              </w:rPr>
              <w:t>≥ 20%</w:t>
            </w:r>
          </w:p>
          <w:p w14:paraId="72F1A035">
            <w:pPr>
              <w:jc w:val="both"/>
              <w:rPr>
                <w:rFonts w:cs="Arial" w:asciiTheme="minorEastAsia" w:hAnsiTheme="minorEastAsia" w:eastAsiaTheme="minorEastAsia"/>
                <w:color w:val="000000"/>
                <w:kern w:val="0"/>
                <w:sz w:val="24"/>
                <w:szCs w:val="24"/>
              </w:rPr>
            </w:pPr>
            <w:r>
              <w:rPr>
                <w:rFonts w:hint="eastAsia" w:cs="Arial" w:asciiTheme="minorEastAsia" w:hAnsiTheme="minorEastAsia" w:eastAsiaTheme="minorEastAsia"/>
                <w:color w:val="000000"/>
                <w:kern w:val="0"/>
                <w:sz w:val="24"/>
                <w:szCs w:val="24"/>
              </w:rPr>
              <w:t>2. 产品符合GB18401-B类</w:t>
            </w:r>
          </w:p>
          <w:p w14:paraId="21B80E68">
            <w:pPr>
              <w:jc w:val="both"/>
              <w:rPr>
                <w:rFonts w:hint="eastAsia" w:asciiTheme="minorEastAsia" w:hAnsiTheme="minorEastAsia" w:eastAsiaTheme="minorEastAsia"/>
                <w:sz w:val="24"/>
                <w:szCs w:val="24"/>
              </w:rPr>
            </w:pPr>
            <w:r>
              <w:rPr>
                <w:rFonts w:hint="eastAsia" w:asciiTheme="minorEastAsia" w:hAnsiTheme="minorEastAsia" w:eastAsiaTheme="minorEastAsia"/>
                <w:sz w:val="24"/>
                <w:szCs w:val="24"/>
              </w:rPr>
              <w:t>3.款式、颜色：海洋迷彩</w:t>
            </w:r>
          </w:p>
        </w:tc>
        <w:tc>
          <w:tcPr>
            <w:tcW w:w="1029" w:type="dxa"/>
            <w:tcBorders>
              <w:top w:val="single" w:color="auto" w:sz="4"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112DB92E">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4BFFC9AD">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条</w:t>
            </w:r>
          </w:p>
        </w:tc>
      </w:tr>
      <w:tr w14:paraId="48A4A40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99" w:hRule="atLeast"/>
          <w:jc w:val="center"/>
        </w:trPr>
        <w:tc>
          <w:tcPr>
            <w:tcW w:w="988" w:type="dxa"/>
            <w:vMerge w:val="continue"/>
            <w:tcBorders>
              <w:left w:val="single" w:color="000000" w:sz="6" w:space="0"/>
              <w:right w:val="single" w:color="000000" w:sz="6" w:space="0"/>
            </w:tcBorders>
            <w:tcMar>
              <w:top w:w="15" w:type="dxa"/>
              <w:left w:w="15" w:type="dxa"/>
              <w:bottom w:w="15" w:type="dxa"/>
              <w:right w:w="15" w:type="dxa"/>
            </w:tcMar>
            <w:vAlign w:val="center"/>
          </w:tcPr>
          <w:p w14:paraId="2DA4D5AD">
            <w:pPr>
              <w:jc w:val="center"/>
              <w:rPr>
                <w:rFonts w:asciiTheme="minorEastAsia" w:hAnsiTheme="minorEastAsia" w:eastAsiaTheme="minorEastAsia"/>
                <w:sz w:val="24"/>
                <w:szCs w:val="24"/>
              </w:rPr>
            </w:pPr>
          </w:p>
        </w:tc>
        <w:tc>
          <w:tcPr>
            <w:tcW w:w="140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DDBACE9">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军训帽</w:t>
            </w:r>
          </w:p>
        </w:tc>
        <w:tc>
          <w:tcPr>
            <w:tcW w:w="4670"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37B63253">
            <w:pPr>
              <w:jc w:val="both"/>
              <w:rPr>
                <w:rFonts w:cs="Arial" w:asciiTheme="minorEastAsia" w:hAnsiTheme="minorEastAsia" w:eastAsiaTheme="minorEastAsia"/>
                <w:color w:val="000000"/>
                <w:kern w:val="0"/>
                <w:sz w:val="24"/>
                <w:szCs w:val="24"/>
              </w:rPr>
            </w:pPr>
            <w:r>
              <w:rPr>
                <w:rFonts w:hint="eastAsia" w:cs="Arial" w:asciiTheme="minorEastAsia" w:hAnsiTheme="minorEastAsia" w:eastAsiaTheme="minorEastAsia"/>
                <w:color w:val="000000"/>
                <w:kern w:val="0"/>
                <w:sz w:val="24"/>
                <w:szCs w:val="24"/>
              </w:rPr>
              <w:t>1.产品符合GB18401-B类</w:t>
            </w:r>
          </w:p>
          <w:p w14:paraId="372C4C58">
            <w:pPr>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2.款式、颜色：海洋迷彩</w:t>
            </w:r>
          </w:p>
        </w:tc>
        <w:tc>
          <w:tcPr>
            <w:tcW w:w="1029" w:type="dxa"/>
            <w:tcBorders>
              <w:top w:val="single" w:color="auto" w:sz="4"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292817C5">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1F6B0996">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顶</w:t>
            </w:r>
          </w:p>
        </w:tc>
      </w:tr>
      <w:tr w14:paraId="317FB96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1069" w:hRule="atLeast"/>
          <w:jc w:val="center"/>
        </w:trPr>
        <w:tc>
          <w:tcPr>
            <w:tcW w:w="988" w:type="dxa"/>
            <w:vMerge w:val="continue"/>
            <w:tcBorders>
              <w:left w:val="single" w:color="000000" w:sz="6" w:space="0"/>
              <w:right w:val="single" w:color="000000" w:sz="6" w:space="0"/>
            </w:tcBorders>
            <w:tcMar>
              <w:top w:w="15" w:type="dxa"/>
              <w:left w:w="15" w:type="dxa"/>
              <w:bottom w:w="15" w:type="dxa"/>
              <w:right w:w="15" w:type="dxa"/>
            </w:tcMar>
            <w:vAlign w:val="center"/>
          </w:tcPr>
          <w:p w14:paraId="1F1EFCBD">
            <w:pPr>
              <w:jc w:val="center"/>
              <w:rPr>
                <w:rFonts w:asciiTheme="minorEastAsia" w:hAnsiTheme="minorEastAsia" w:eastAsiaTheme="minorEastAsia"/>
                <w:sz w:val="24"/>
                <w:szCs w:val="24"/>
              </w:rPr>
            </w:pPr>
          </w:p>
        </w:tc>
        <w:tc>
          <w:tcPr>
            <w:tcW w:w="1407" w:type="dxa"/>
            <w:tcBorders>
              <w:top w:val="single" w:color="000000" w:sz="6"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04BECDAE">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短袖T恤</w:t>
            </w:r>
          </w:p>
        </w:tc>
        <w:tc>
          <w:tcPr>
            <w:tcW w:w="4670" w:type="dxa"/>
            <w:tcBorders>
              <w:top w:val="single" w:color="000000" w:sz="6"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3428D3E2">
            <w:pPr>
              <w:jc w:val="both"/>
              <w:rPr>
                <w:rFonts w:hint="eastAsia" w:cs="Arial" w:asciiTheme="minorEastAsia" w:hAnsiTheme="minorEastAsia" w:eastAsiaTheme="minorEastAsia"/>
                <w:color w:val="000000"/>
                <w:kern w:val="0"/>
                <w:sz w:val="24"/>
                <w:szCs w:val="24"/>
                <w:lang w:eastAsia="zh-CN"/>
              </w:rPr>
            </w:pPr>
            <w:r>
              <w:rPr>
                <w:rFonts w:hint="eastAsia" w:asciiTheme="minorEastAsia" w:hAnsiTheme="minorEastAsia" w:eastAsiaTheme="minorEastAsia"/>
                <w:sz w:val="24"/>
                <w:szCs w:val="24"/>
              </w:rPr>
              <w:t>1.涤棉混纺织物，其中棉含量</w:t>
            </w:r>
            <w:r>
              <w:rPr>
                <w:rFonts w:hint="eastAsia" w:cs="Arial" w:asciiTheme="minorEastAsia" w:hAnsiTheme="minorEastAsia" w:eastAsiaTheme="minorEastAsia"/>
                <w:color w:val="000000"/>
                <w:kern w:val="0"/>
                <w:sz w:val="24"/>
                <w:szCs w:val="24"/>
              </w:rPr>
              <w:t xml:space="preserve">≥ </w:t>
            </w:r>
            <w:r>
              <w:rPr>
                <w:rFonts w:hint="eastAsia" w:cs="Arial" w:asciiTheme="minorEastAsia" w:hAnsiTheme="minorEastAsia" w:eastAsiaTheme="minorEastAsia"/>
                <w:color w:val="000000"/>
                <w:kern w:val="0"/>
                <w:sz w:val="24"/>
                <w:szCs w:val="24"/>
                <w:lang w:val="en-US" w:eastAsia="zh-CN"/>
              </w:rPr>
              <w:t>5</w:t>
            </w:r>
            <w:r>
              <w:rPr>
                <w:rFonts w:hint="eastAsia" w:cs="Arial" w:asciiTheme="minorEastAsia" w:hAnsiTheme="minorEastAsia" w:eastAsiaTheme="minorEastAsia"/>
                <w:color w:val="000000"/>
                <w:kern w:val="0"/>
                <w:sz w:val="24"/>
                <w:szCs w:val="24"/>
              </w:rPr>
              <w:t>0%</w:t>
            </w:r>
          </w:p>
          <w:p w14:paraId="3608F07E">
            <w:pPr>
              <w:jc w:val="both"/>
              <w:rPr>
                <w:rFonts w:cs="Arial" w:asciiTheme="minorEastAsia" w:hAnsiTheme="minorEastAsia" w:eastAsiaTheme="minorEastAsia"/>
                <w:color w:val="000000"/>
                <w:kern w:val="0"/>
                <w:sz w:val="24"/>
                <w:szCs w:val="24"/>
              </w:rPr>
            </w:pPr>
            <w:r>
              <w:rPr>
                <w:rFonts w:hint="eastAsia" w:cs="Arial" w:asciiTheme="minorEastAsia" w:hAnsiTheme="minorEastAsia" w:eastAsiaTheme="minorEastAsia"/>
                <w:color w:val="000000"/>
                <w:kern w:val="0"/>
                <w:sz w:val="24"/>
                <w:szCs w:val="24"/>
              </w:rPr>
              <w:t>2. 产品符合GB18401-B类</w:t>
            </w:r>
          </w:p>
          <w:p w14:paraId="1262E65A">
            <w:pPr>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3.款式、颜色：海洋迷彩</w:t>
            </w:r>
          </w:p>
        </w:tc>
        <w:tc>
          <w:tcPr>
            <w:tcW w:w="1029" w:type="dxa"/>
            <w:tcBorders>
              <w:top w:val="single" w:color="auto" w:sz="4"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048F44FE">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29E7B698">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件</w:t>
            </w:r>
          </w:p>
        </w:tc>
      </w:tr>
      <w:tr w14:paraId="5FAFC4EA">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659" w:hRule="atLeast"/>
          <w:jc w:val="center"/>
        </w:trPr>
        <w:tc>
          <w:tcPr>
            <w:tcW w:w="988" w:type="dxa"/>
            <w:vMerge w:val="continue"/>
            <w:tcBorders>
              <w:left w:val="single" w:color="000000" w:sz="6" w:space="0"/>
              <w:right w:val="single" w:color="000000" w:sz="6" w:space="0"/>
            </w:tcBorders>
            <w:tcMar>
              <w:top w:w="15" w:type="dxa"/>
              <w:left w:w="15" w:type="dxa"/>
              <w:bottom w:w="15" w:type="dxa"/>
              <w:right w:w="15" w:type="dxa"/>
            </w:tcMar>
            <w:vAlign w:val="center"/>
          </w:tcPr>
          <w:p w14:paraId="50BE754A">
            <w:pPr>
              <w:jc w:val="center"/>
              <w:rPr>
                <w:rFonts w:asciiTheme="minorEastAsia" w:hAnsiTheme="minorEastAsia" w:eastAsiaTheme="minorEastAsia"/>
                <w:sz w:val="24"/>
                <w:szCs w:val="24"/>
              </w:rPr>
            </w:pPr>
          </w:p>
        </w:tc>
        <w:tc>
          <w:tcPr>
            <w:tcW w:w="1407" w:type="dxa"/>
            <w:tcBorders>
              <w:top w:val="single" w:color="auto"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B53B478">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军训鞋</w:t>
            </w:r>
          </w:p>
        </w:tc>
        <w:tc>
          <w:tcPr>
            <w:tcW w:w="4670" w:type="dxa"/>
            <w:tcBorders>
              <w:top w:val="single" w:color="auto"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5BE4C87">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正规厂家，防滑耐磨，不脱胶，不断底</w:t>
            </w:r>
          </w:p>
        </w:tc>
        <w:tc>
          <w:tcPr>
            <w:tcW w:w="1029" w:type="dxa"/>
            <w:tcBorders>
              <w:top w:val="single" w:color="auto" w:sz="4"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5AE37DB3">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1</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50BA546A">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双</w:t>
            </w:r>
          </w:p>
        </w:tc>
      </w:tr>
      <w:tr w14:paraId="310B00D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93" w:hRule="atLeast"/>
          <w:jc w:val="center"/>
        </w:trPr>
        <w:tc>
          <w:tcPr>
            <w:tcW w:w="988" w:type="dxa"/>
            <w:vMerge w:val="continue"/>
            <w:tcBorders>
              <w:left w:val="single" w:color="000000" w:sz="6" w:space="0"/>
              <w:right w:val="single" w:color="000000" w:sz="6" w:space="0"/>
            </w:tcBorders>
            <w:tcMar>
              <w:top w:w="15" w:type="dxa"/>
              <w:left w:w="15" w:type="dxa"/>
              <w:bottom w:w="15" w:type="dxa"/>
              <w:right w:w="15" w:type="dxa"/>
            </w:tcMar>
            <w:vAlign w:val="center"/>
          </w:tcPr>
          <w:p w14:paraId="05903693">
            <w:pPr>
              <w:jc w:val="center"/>
              <w:rPr>
                <w:rFonts w:asciiTheme="minorEastAsia" w:hAnsiTheme="minorEastAsia" w:eastAsiaTheme="minorEastAsia"/>
                <w:sz w:val="24"/>
                <w:szCs w:val="24"/>
              </w:rPr>
            </w:pPr>
          </w:p>
        </w:tc>
        <w:tc>
          <w:tcPr>
            <w:tcW w:w="140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3E4AF7D">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编织腰带</w:t>
            </w:r>
          </w:p>
        </w:tc>
        <w:tc>
          <w:tcPr>
            <w:tcW w:w="4670"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07F4B20C">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内腰带：宽</w:t>
            </w:r>
            <w:r>
              <w:rPr>
                <w:rFonts w:hint="eastAsia" w:cs="Arial" w:asciiTheme="minorEastAsia" w:hAnsiTheme="minorEastAsia" w:eastAsiaTheme="minorEastAsia"/>
                <w:color w:val="000000"/>
                <w:kern w:val="0"/>
                <w:sz w:val="24"/>
                <w:szCs w:val="24"/>
              </w:rPr>
              <w:t xml:space="preserve">≥ </w:t>
            </w:r>
            <w:r>
              <w:rPr>
                <w:rFonts w:hint="eastAsia" w:asciiTheme="minorEastAsia" w:hAnsiTheme="minorEastAsia" w:eastAsiaTheme="minorEastAsia"/>
                <w:sz w:val="24"/>
                <w:szCs w:val="24"/>
                <w:lang w:val="en-US" w:eastAsia="zh-CN"/>
              </w:rPr>
              <w:t>3</w:t>
            </w:r>
            <w:r>
              <w:rPr>
                <w:rFonts w:hint="eastAsia" w:asciiTheme="minorEastAsia" w:hAnsiTheme="minorEastAsia" w:eastAsiaTheme="minorEastAsia"/>
                <w:sz w:val="24"/>
                <w:szCs w:val="24"/>
              </w:rPr>
              <w:t>cm</w:t>
            </w:r>
          </w:p>
          <w:p w14:paraId="50ECE8F4">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外腰带：宽</w:t>
            </w:r>
            <w:r>
              <w:rPr>
                <w:rFonts w:hint="eastAsia" w:cs="Arial" w:asciiTheme="minorEastAsia" w:hAnsiTheme="minorEastAsia" w:eastAsiaTheme="minorEastAsia"/>
                <w:color w:val="000000"/>
                <w:kern w:val="0"/>
                <w:sz w:val="24"/>
                <w:szCs w:val="24"/>
              </w:rPr>
              <w:t xml:space="preserve">≥ </w:t>
            </w:r>
            <w:r>
              <w:rPr>
                <w:rFonts w:hint="eastAsia" w:asciiTheme="minorEastAsia" w:hAnsiTheme="minorEastAsia" w:eastAsiaTheme="minorEastAsia"/>
                <w:sz w:val="24"/>
                <w:szCs w:val="24"/>
                <w:lang w:val="en-US" w:eastAsia="zh-CN"/>
              </w:rPr>
              <w:t>4</w:t>
            </w:r>
            <w:r>
              <w:rPr>
                <w:rFonts w:hint="eastAsia" w:asciiTheme="minorEastAsia" w:hAnsiTheme="minorEastAsia" w:eastAsiaTheme="minorEastAsia"/>
                <w:sz w:val="24"/>
                <w:szCs w:val="24"/>
              </w:rPr>
              <w:t>cm</w:t>
            </w:r>
          </w:p>
        </w:tc>
        <w:tc>
          <w:tcPr>
            <w:tcW w:w="1029" w:type="dxa"/>
            <w:tcBorders>
              <w:top w:val="single" w:color="auto" w:sz="4"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1385BAC3">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1118" w:type="dxa"/>
            <w:tcBorders>
              <w:left w:val="single" w:color="000000" w:sz="6" w:space="0"/>
              <w:right w:val="single" w:color="000000" w:sz="6" w:space="0"/>
            </w:tcBorders>
            <w:tcMar>
              <w:top w:w="15" w:type="dxa"/>
              <w:left w:w="15" w:type="dxa"/>
              <w:bottom w:w="15" w:type="dxa"/>
              <w:right w:w="15" w:type="dxa"/>
            </w:tcMar>
            <w:vAlign w:val="center"/>
          </w:tcPr>
          <w:p w14:paraId="6373C561">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条</w:t>
            </w:r>
          </w:p>
        </w:tc>
      </w:tr>
    </w:tbl>
    <w:p w14:paraId="2D72F84D">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 投标人文件需提供纤维检验部门出具的检测报告（包括生产原材料及成品服装，未提供检测报告的投标文件视为废标）。</w:t>
      </w:r>
    </w:p>
    <w:p w14:paraId="5092CEEC">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4.投标人依照样品的款式和颜色进行报价和供货，投标人最终的供货产品必须符合国家质量标准 GB18401《国家纺织产品基本安全技术规范》中B类产品规定的要求和招标文件中规定的材质要求。</w:t>
      </w:r>
    </w:p>
    <w:p w14:paraId="010BE243">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四、供货期限</w:t>
      </w:r>
    </w:p>
    <w:p w14:paraId="27391A63">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军训服装应于202</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年 8月 31 日前完成全部生产，根据校方通知日期</w:t>
      </w:r>
      <w:r>
        <w:rPr>
          <w:rFonts w:hint="eastAsia" w:asciiTheme="minorEastAsia" w:hAnsiTheme="minorEastAsia" w:eastAsiaTheme="minorEastAsia"/>
          <w:sz w:val="24"/>
          <w:lang w:eastAsia="zh-CN"/>
        </w:rPr>
        <w:t>（</w:t>
      </w:r>
      <w:r>
        <w:rPr>
          <w:rFonts w:hint="eastAsia" w:asciiTheme="minorEastAsia" w:hAnsiTheme="minorEastAsia" w:eastAsiaTheme="minorEastAsia"/>
          <w:sz w:val="24"/>
          <w:lang w:val="en-US" w:eastAsia="zh-CN"/>
        </w:rPr>
        <w:t>暂定2024年9月7日）</w:t>
      </w:r>
      <w:r>
        <w:rPr>
          <w:rFonts w:hint="eastAsia" w:asciiTheme="minorEastAsia" w:hAnsiTheme="minorEastAsia" w:eastAsiaTheme="minorEastAsia"/>
          <w:sz w:val="24"/>
        </w:rPr>
        <w:t>送货，并负责开学期间军训服现场发放工作，并免费负责进行大小的更换和军训期间非人为因素损坏的更换。</w:t>
      </w:r>
      <w:r>
        <w:rPr>
          <w:rFonts w:hint="eastAsia" w:asciiTheme="minorEastAsia" w:hAnsiTheme="minorEastAsia" w:eastAsiaTheme="minorEastAsia"/>
          <w:sz w:val="24"/>
          <w:lang w:val="en-US" w:eastAsia="zh-CN"/>
        </w:rPr>
        <w:t>投标人需充分考虑军训服装生产时间和供货日期。</w:t>
      </w:r>
    </w:p>
    <w:p w14:paraId="43E05A04">
      <w:pPr>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五、验收办法</w:t>
      </w:r>
    </w:p>
    <w:p w14:paraId="69151642">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由采购人组织验收，采购人</w:t>
      </w:r>
      <w:r>
        <w:rPr>
          <w:rFonts w:hint="eastAsia" w:asciiTheme="minorEastAsia" w:hAnsiTheme="minorEastAsia" w:eastAsiaTheme="minorEastAsia"/>
          <w:b/>
          <w:bCs/>
          <w:sz w:val="24"/>
          <w:u w:val="single"/>
          <w:lang w:val="en-US" w:eastAsia="zh-CN"/>
        </w:rPr>
        <w:t>在</w:t>
      </w:r>
      <w:r>
        <w:rPr>
          <w:rFonts w:hint="eastAsia" w:asciiTheme="minorEastAsia" w:hAnsiTheme="minorEastAsia" w:eastAsiaTheme="minorEastAsia"/>
          <w:b/>
          <w:bCs/>
          <w:sz w:val="24"/>
          <w:u w:val="single"/>
        </w:rPr>
        <w:t>军训服发放现场抽样送</w:t>
      </w:r>
      <w:r>
        <w:rPr>
          <w:rFonts w:hint="eastAsia" w:asciiTheme="minorEastAsia" w:hAnsiTheme="minorEastAsia" w:eastAsiaTheme="minorEastAsia"/>
          <w:b w:val="0"/>
          <w:bCs w:val="0"/>
          <w:sz w:val="24"/>
        </w:rPr>
        <w:t>纤维检验部门检测</w:t>
      </w:r>
      <w:r>
        <w:rPr>
          <w:rFonts w:hint="eastAsia" w:asciiTheme="minorEastAsia" w:hAnsiTheme="minorEastAsia" w:eastAsiaTheme="minorEastAsia"/>
          <w:sz w:val="24"/>
        </w:rPr>
        <w:t>，检测结果符合招标文件规定的技术指标和标准后，再进行样式和数量清点，</w:t>
      </w:r>
      <w:r>
        <w:rPr>
          <w:rFonts w:hint="eastAsia" w:asciiTheme="minorEastAsia" w:hAnsiTheme="minorEastAsia" w:eastAsiaTheme="minorEastAsia"/>
          <w:b/>
          <w:bCs/>
          <w:sz w:val="24"/>
          <w:u w:val="single"/>
        </w:rPr>
        <w:t>检验费用由中标人承担</w:t>
      </w:r>
      <w:r>
        <w:rPr>
          <w:rFonts w:hint="eastAsia" w:asciiTheme="minorEastAsia" w:hAnsiTheme="minorEastAsia" w:eastAsiaTheme="minorEastAsia"/>
          <w:sz w:val="24"/>
        </w:rPr>
        <w:t>，若检测不合格，采购人拒绝付款，投标人应综合考虑报价风险。</w:t>
      </w:r>
    </w:p>
    <w:p w14:paraId="17AE07F0">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1"/>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5"/>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5638"/>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46"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8"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8"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8"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8"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8"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93"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EBD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4CBA1C3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14:paraId="29E620D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文件机器识别码查询</w:t>
            </w:r>
          </w:p>
        </w:tc>
        <w:tc>
          <w:tcPr>
            <w:tcW w:w="2358" w:type="dxa"/>
            <w:vAlign w:val="center"/>
          </w:tcPr>
          <w:p w14:paraId="73CEC13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不同供应商响应</w:t>
            </w:r>
            <w:r>
              <w:rPr>
                <w:rFonts w:hint="eastAsia" w:ascii="宋体" w:hAnsi="宋体" w:eastAsia="宋体" w:cs="宋体"/>
                <w:color w:val="auto"/>
                <w:sz w:val="21"/>
                <w:szCs w:val="21"/>
                <w:highlight w:val="none"/>
              </w:rPr>
              <w:t>文件创建标识码、文件制作机器码任</w:t>
            </w:r>
            <w:r>
              <w:rPr>
                <w:rFonts w:hint="eastAsia" w:ascii="宋体" w:hAnsi="宋体" w:eastAsia="宋体" w:cs="宋体"/>
                <w:color w:val="auto"/>
                <w:sz w:val="21"/>
                <w:szCs w:val="21"/>
                <w:highlight w:val="none"/>
                <w:lang w:val="en-US" w:eastAsia="zh-CN"/>
              </w:rPr>
              <w:t>一项都不相同</w:t>
            </w:r>
          </w:p>
        </w:tc>
        <w:tc>
          <w:tcPr>
            <w:tcW w:w="5638" w:type="dxa"/>
            <w:vAlign w:val="center"/>
          </w:tcPr>
          <w:p w14:paraId="52780444">
            <w:pPr>
              <w:spacing w:after="50" w:line="360" w:lineRule="auto"/>
              <w:ind w:right="-10" w:rightChars="0"/>
              <w:jc w:val="center"/>
              <w:rPr>
                <w:rFonts w:hint="eastAsia" w:ascii="宋体" w:hAnsi="宋体" w:eastAsia="宋体" w:cs="宋体"/>
                <w:color w:val="auto"/>
                <w:sz w:val="21"/>
                <w:szCs w:val="21"/>
                <w:highlight w:val="none"/>
              </w:rPr>
            </w:pP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8"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D19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62E8B078">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11</w:t>
            </w:r>
          </w:p>
        </w:tc>
        <w:tc>
          <w:tcPr>
            <w:tcW w:w="1757" w:type="dxa"/>
            <w:vAlign w:val="center"/>
          </w:tcPr>
          <w:p w14:paraId="79DE2DFC">
            <w:pPr>
              <w:spacing w:after="50" w:line="360" w:lineRule="auto"/>
              <w:ind w:right="-10" w:rightChars="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核心产品</w:t>
            </w:r>
          </w:p>
        </w:tc>
        <w:tc>
          <w:tcPr>
            <w:tcW w:w="2358" w:type="dxa"/>
            <w:vAlign w:val="center"/>
          </w:tcPr>
          <w:p w14:paraId="7DA19D7F">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yellow"/>
                <w:lang w:val="en-US" w:eastAsia="zh-CN" w:bidi="ar"/>
              </w:rPr>
              <w:t>供应商人数满足三家及以上。（不同供应商提供相同品牌相同型号产品的，按一家供应商计算）</w:t>
            </w:r>
          </w:p>
        </w:tc>
        <w:tc>
          <w:tcPr>
            <w:tcW w:w="5638" w:type="dxa"/>
            <w:vAlign w:val="center"/>
          </w:tcPr>
          <w:p w14:paraId="7D155BF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p>
        </w:tc>
        <w:tc>
          <w:tcPr>
            <w:tcW w:w="1757"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8"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8"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8"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8"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8"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8"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1757"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8"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46"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2" w:name="_Toc7241"/>
      <w:bookmarkStart w:id="73" w:name="_Toc431"/>
      <w:bookmarkStart w:id="74" w:name="_Toc28300"/>
      <w:bookmarkStart w:id="75" w:name="_Toc27586"/>
      <w:bookmarkStart w:id="76" w:name="_Toc3977"/>
      <w:bookmarkStart w:id="77" w:name="_Toc10569"/>
      <w:bookmarkStart w:id="78"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2"/>
      <w:bookmarkEnd w:id="73"/>
      <w:bookmarkEnd w:id="74"/>
      <w:bookmarkEnd w:id="75"/>
      <w:bookmarkEnd w:id="76"/>
      <w:r>
        <w:rPr>
          <w:rFonts w:hint="eastAsia" w:ascii="宋体" w:hAnsi="宋体" w:cs="宋体"/>
          <w:b w:val="0"/>
          <w:bCs/>
          <w:color w:val="auto"/>
          <w:szCs w:val="21"/>
          <w:highlight w:val="none"/>
          <w:lang w:val="en-US" w:eastAsia="zh-CN"/>
        </w:rPr>
        <w:t>。</w:t>
      </w:r>
    </w:p>
    <w:p w14:paraId="2736488F">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r>
        <w:rPr>
          <w:rFonts w:hint="eastAsia" w:ascii="宋体" w:hAnsi="宋体" w:cs="宋体"/>
          <w:b w:val="0"/>
          <w:bCs/>
          <w:color w:val="auto"/>
          <w:szCs w:val="21"/>
          <w:highlight w:val="none"/>
          <w:lang w:val="en-US" w:eastAsia="zh-CN"/>
        </w:rPr>
        <w:t>4、本次采购需对样品进行评审：</w:t>
      </w:r>
    </w:p>
    <w:p w14:paraId="563DFA23">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r>
        <w:rPr>
          <w:rFonts w:hint="eastAsia" w:ascii="宋体" w:hAnsi="宋体" w:cs="宋体"/>
          <w:b w:val="0"/>
          <w:bCs/>
          <w:color w:val="auto"/>
          <w:szCs w:val="21"/>
          <w:highlight w:val="none"/>
          <w:lang w:val="en-US" w:eastAsia="zh-CN"/>
        </w:rPr>
        <w:t>请各供应商自行准备样品。各投标单位样品须在开标当日投标截止时间前由法人或授权委托人（需携带授权委托书）送至安徽建方工程造价有限公司开标室。备注：每件样衣上均需粘贴小标签，标签上注明：货物名称、规格型号、材质，盖投标人公章。样品小标签样式如下：</w:t>
      </w:r>
    </w:p>
    <w:p w14:paraId="354CEBFB">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321"/>
        <w:gridCol w:w="2321"/>
        <w:gridCol w:w="2322"/>
        <w:gridCol w:w="2322"/>
      </w:tblGrid>
      <w:tr w14:paraId="238A4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321" w:type="dxa"/>
          </w:tcPr>
          <w:p w14:paraId="5623FD57">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r>
              <w:rPr>
                <w:rFonts w:hint="eastAsia" w:ascii="宋体" w:hAnsi="宋体" w:cs="宋体"/>
                <w:b w:val="0"/>
                <w:bCs/>
                <w:color w:val="auto"/>
                <w:szCs w:val="21"/>
                <w:highlight w:val="none"/>
                <w:vertAlign w:val="baseline"/>
                <w:lang w:val="en-US" w:eastAsia="zh-CN"/>
              </w:rPr>
              <w:t>货物名称</w:t>
            </w:r>
          </w:p>
        </w:tc>
        <w:tc>
          <w:tcPr>
            <w:tcW w:w="2321" w:type="dxa"/>
          </w:tcPr>
          <w:p w14:paraId="4E298FC9">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p>
        </w:tc>
        <w:tc>
          <w:tcPr>
            <w:tcW w:w="2322" w:type="dxa"/>
          </w:tcPr>
          <w:p w14:paraId="071B6DE4">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r>
              <w:rPr>
                <w:rFonts w:hint="eastAsia" w:ascii="宋体" w:hAnsi="宋体" w:cs="宋体"/>
                <w:b w:val="0"/>
                <w:bCs/>
                <w:color w:val="auto"/>
                <w:szCs w:val="21"/>
                <w:highlight w:val="none"/>
                <w:vertAlign w:val="baseline"/>
                <w:lang w:val="en-US" w:eastAsia="zh-CN"/>
              </w:rPr>
              <w:t>规格型号</w:t>
            </w:r>
          </w:p>
        </w:tc>
        <w:tc>
          <w:tcPr>
            <w:tcW w:w="2322" w:type="dxa"/>
          </w:tcPr>
          <w:p w14:paraId="422E0AB7">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p>
        </w:tc>
      </w:tr>
      <w:tr w14:paraId="163E2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321" w:type="dxa"/>
          </w:tcPr>
          <w:p w14:paraId="592522BB">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r>
              <w:rPr>
                <w:rFonts w:hint="eastAsia" w:ascii="宋体" w:hAnsi="宋体" w:cs="宋体"/>
                <w:b w:val="0"/>
                <w:bCs/>
                <w:color w:val="auto"/>
                <w:szCs w:val="21"/>
                <w:highlight w:val="none"/>
                <w:vertAlign w:val="baseline"/>
                <w:lang w:val="en-US" w:eastAsia="zh-CN"/>
              </w:rPr>
              <w:t>材质</w:t>
            </w:r>
          </w:p>
        </w:tc>
        <w:tc>
          <w:tcPr>
            <w:tcW w:w="2321" w:type="dxa"/>
          </w:tcPr>
          <w:p w14:paraId="5DE4C99E">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p>
        </w:tc>
        <w:tc>
          <w:tcPr>
            <w:tcW w:w="2322" w:type="dxa"/>
          </w:tcPr>
          <w:p w14:paraId="67B19725">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r>
              <w:rPr>
                <w:rFonts w:hint="eastAsia" w:ascii="宋体" w:hAnsi="宋体" w:cs="宋体"/>
                <w:b w:val="0"/>
                <w:bCs/>
                <w:color w:val="auto"/>
                <w:szCs w:val="21"/>
                <w:highlight w:val="none"/>
                <w:vertAlign w:val="baseline"/>
                <w:lang w:val="en-US" w:eastAsia="zh-CN"/>
              </w:rPr>
              <w:t>投标人</w:t>
            </w:r>
            <w:bookmarkStart w:id="257" w:name="_GoBack"/>
            <w:bookmarkEnd w:id="257"/>
          </w:p>
        </w:tc>
        <w:tc>
          <w:tcPr>
            <w:tcW w:w="2322" w:type="dxa"/>
          </w:tcPr>
          <w:p w14:paraId="626D60DC">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jc w:val="both"/>
              <w:textAlignment w:val="auto"/>
              <w:rPr>
                <w:rFonts w:hint="default" w:ascii="宋体" w:hAnsi="宋体" w:cs="宋体"/>
                <w:b w:val="0"/>
                <w:bCs/>
                <w:color w:val="auto"/>
                <w:szCs w:val="21"/>
                <w:highlight w:val="none"/>
                <w:vertAlign w:val="baseline"/>
                <w:lang w:val="en-US" w:eastAsia="zh-CN"/>
              </w:rPr>
            </w:pPr>
          </w:p>
        </w:tc>
      </w:tr>
    </w:tbl>
    <w:p w14:paraId="62BD5AAA">
      <w:pPr>
        <w:keepNext w:val="0"/>
        <w:keepLines w:val="0"/>
        <w:pageBreakBefore w:val="0"/>
        <w:widowControl w:val="0"/>
        <w:numPr>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77"/>
    <w:bookmarkEnd w:id="78"/>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79" w:name="_Toc2232"/>
      <w:bookmarkStart w:id="80" w:name="_Toc24059"/>
      <w:bookmarkStart w:id="81"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2" w:name="_Toc24300"/>
      <w:bookmarkStart w:id="83" w:name="_Toc21295"/>
      <w:bookmarkStart w:id="84"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2"/>
      <w:bookmarkEnd w:id="83"/>
      <w:bookmarkEnd w:id="84"/>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85" w:name="_Toc21551"/>
      <w:bookmarkStart w:id="86" w:name="_Toc23292"/>
      <w:bookmarkStart w:id="87"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88" w:name="_Toc10340"/>
      <w:bookmarkStart w:id="89" w:name="_Toc22618"/>
      <w:bookmarkStart w:id="90"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1" w:name="_Toc2846"/>
      <w:bookmarkStart w:id="92" w:name="_Toc19304"/>
      <w:bookmarkStart w:id="93"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1"/>
      <w:bookmarkEnd w:id="92"/>
      <w:bookmarkEnd w:id="93"/>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4" w:name="_Toc21423"/>
      <w:bookmarkStart w:id="95" w:name="_Toc19554"/>
      <w:bookmarkStart w:id="96" w:name="_Toc27250"/>
      <w:r>
        <w:rPr>
          <w:rFonts w:hint="eastAsia" w:asciiTheme="minorEastAsia" w:hAnsiTheme="minorEastAsia" w:eastAsiaTheme="minorEastAsia"/>
          <w:b/>
          <w:bCs/>
          <w:color w:val="auto"/>
          <w:sz w:val="24"/>
          <w:highlight w:val="none"/>
          <w:lang w:val="zh-CN"/>
        </w:rPr>
        <w:t>1.6 违约责任</w:t>
      </w:r>
      <w:bookmarkEnd w:id="94"/>
      <w:bookmarkEnd w:id="95"/>
      <w:bookmarkEnd w:id="96"/>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97" w:name="_Toc16021"/>
      <w:bookmarkStart w:id="98" w:name="_Toc15583"/>
      <w:bookmarkStart w:id="99"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0" w:name="_Toc7245"/>
      <w:bookmarkStart w:id="101" w:name="_Toc11173"/>
      <w:bookmarkStart w:id="102"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3" w:name="_Toc16917"/>
      <w:bookmarkStart w:id="104" w:name="_Toc259093669"/>
      <w:bookmarkStart w:id="105" w:name="_Ref467379109"/>
      <w:bookmarkStart w:id="106" w:name="_Ref467379214"/>
      <w:bookmarkStart w:id="107" w:name="_Ref467378404"/>
      <w:bookmarkStart w:id="108" w:name="_Toc19614"/>
      <w:bookmarkStart w:id="109" w:name="_Ref467378499"/>
      <w:bookmarkStart w:id="110" w:name="_Ref467378463"/>
      <w:bookmarkStart w:id="111" w:name="_Toc28763"/>
      <w:bookmarkStart w:id="112" w:name="_Ref467379225"/>
      <w:bookmarkStart w:id="113" w:name="_Ref467379205"/>
      <w:bookmarkStart w:id="114" w:name="_Toc279701240"/>
      <w:bookmarkStart w:id="115" w:name="_Ref467379195"/>
      <w:bookmarkStart w:id="116" w:name="_Toc487900349"/>
      <w:bookmarkStart w:id="117" w:name="_Ref467379101"/>
      <w:bookmarkStart w:id="118" w:name="_Ref467379094"/>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19"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19"/>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0"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0"/>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1"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1"/>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2" w:name="_Toc32504"/>
      <w:bookmarkStart w:id="123" w:name="_Toc487900350"/>
      <w:bookmarkStart w:id="124" w:name="_Toc259093670"/>
      <w:bookmarkStart w:id="125" w:name="_Toc279701241"/>
      <w:bookmarkStart w:id="126" w:name="_Toc13336"/>
      <w:bookmarkStart w:id="127" w:name="_Toc2763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2"/>
      <w:bookmarkEnd w:id="123"/>
      <w:bookmarkEnd w:id="124"/>
      <w:bookmarkEnd w:id="125"/>
      <w:bookmarkEnd w:id="126"/>
      <w:bookmarkEnd w:id="127"/>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28" w:name="_Toc279701242"/>
      <w:bookmarkStart w:id="129" w:name="_Toc27853"/>
      <w:bookmarkStart w:id="130" w:name="_Toc259093671"/>
      <w:bookmarkStart w:id="131" w:name="_Toc487900351"/>
      <w:bookmarkStart w:id="132" w:name="_Toc9829"/>
      <w:bookmarkStart w:id="133" w:name="_Toc3163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8"/>
      <w:bookmarkEnd w:id="129"/>
      <w:bookmarkEnd w:id="130"/>
      <w:bookmarkEnd w:id="131"/>
      <w:bookmarkEnd w:id="132"/>
      <w:bookmarkEnd w:id="133"/>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4" w:name="_Toc11932"/>
      <w:bookmarkStart w:id="135" w:name="_Toc29149"/>
      <w:bookmarkStart w:id="136" w:name="_Toc4194"/>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4"/>
      <w:bookmarkEnd w:id="135"/>
      <w:bookmarkEnd w:id="136"/>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37" w:name="_Ref467378591"/>
      <w:bookmarkStart w:id="138" w:name="_Toc259093674"/>
      <w:bookmarkStart w:id="139" w:name="_Ref467379536"/>
      <w:bookmarkStart w:id="140" w:name="_Ref467379542"/>
      <w:bookmarkStart w:id="141" w:name="_Toc487900354"/>
      <w:bookmarkStart w:id="142" w:name="_Toc279701245"/>
      <w:bookmarkStart w:id="143" w:name="_Ref467378541"/>
      <w:bookmarkStart w:id="144" w:name="_Ref467379527"/>
      <w:bookmarkStart w:id="145" w:name="_Toc19074"/>
      <w:bookmarkStart w:id="146" w:name="_Toc26182"/>
      <w:bookmarkStart w:id="147" w:name="_Toc30272"/>
      <w:r>
        <w:rPr>
          <w:rFonts w:hint="eastAsia" w:asciiTheme="minorEastAsia" w:hAnsiTheme="minorEastAsia" w:eastAsiaTheme="minorEastAsia"/>
          <w:b/>
          <w:bCs/>
          <w:color w:val="auto"/>
          <w:sz w:val="24"/>
          <w:highlight w:val="none"/>
          <w:lang w:val="zh-CN"/>
        </w:rPr>
        <w:t>2.</w:t>
      </w:r>
      <w:bookmarkEnd w:id="137"/>
      <w:bookmarkEnd w:id="138"/>
      <w:bookmarkEnd w:id="139"/>
      <w:bookmarkEnd w:id="140"/>
      <w:bookmarkEnd w:id="141"/>
      <w:bookmarkEnd w:id="142"/>
      <w:bookmarkEnd w:id="143"/>
      <w:bookmarkEnd w:id="144"/>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5"/>
      <w:bookmarkEnd w:id="146"/>
      <w:bookmarkEnd w:id="147"/>
    </w:p>
    <w:p w14:paraId="779BA1F1">
      <w:pPr>
        <w:spacing w:line="360" w:lineRule="auto"/>
        <w:ind w:firstLine="435"/>
        <w:rPr>
          <w:rFonts w:asciiTheme="minorEastAsia" w:hAnsiTheme="minorEastAsia" w:eastAsiaTheme="minorEastAsia"/>
          <w:color w:val="auto"/>
          <w:sz w:val="24"/>
          <w:highlight w:val="none"/>
        </w:rPr>
      </w:pPr>
      <w:bookmarkStart w:id="148"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48"/>
      <w:bookmarkStart w:id="149" w:name="_Toc186431854"/>
      <w:bookmarkStart w:id="150" w:name="_Toc487900357"/>
      <w:bookmarkStart w:id="151" w:name="_Ref467379793"/>
      <w:bookmarkStart w:id="152" w:name="_Toc279701247"/>
      <w:bookmarkStart w:id="153" w:name="_Toc259093676"/>
      <w:bookmarkStart w:id="154" w:name="_Ref46737980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49"/>
      <w:bookmarkStart w:id="155" w:name="_Toc186431855"/>
      <w:r>
        <w:rPr>
          <w:rFonts w:hint="eastAsia" w:asciiTheme="minorEastAsia" w:hAnsiTheme="minorEastAsia" w:eastAsiaTheme="minorEastAsia"/>
          <w:color w:val="auto"/>
          <w:sz w:val="24"/>
          <w:highlight w:val="none"/>
        </w:rPr>
        <w:t>。</w:t>
      </w:r>
    </w:p>
    <w:bookmarkEnd w:id="155"/>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56" w:name="_Toc7836"/>
      <w:bookmarkStart w:id="157" w:name="_Toc28451"/>
      <w:bookmarkStart w:id="158" w:name="_Toc19219"/>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0"/>
      <w:bookmarkEnd w:id="151"/>
      <w:bookmarkEnd w:id="152"/>
      <w:bookmarkEnd w:id="153"/>
      <w:bookmarkEnd w:id="154"/>
      <w:bookmarkEnd w:id="156"/>
      <w:bookmarkEnd w:id="157"/>
      <w:bookmarkEnd w:id="158"/>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59" w:name="_Ref467379863"/>
      <w:bookmarkStart w:id="160" w:name="_Ref467379852"/>
      <w:bookmarkStart w:id="161" w:name="_Toc259093677"/>
      <w:bookmarkStart w:id="162" w:name="_Toc279701248"/>
      <w:bookmarkStart w:id="163" w:name="_Ref467379923"/>
      <w:bookmarkStart w:id="164" w:name="_Toc487900358"/>
      <w:bookmarkStart w:id="165" w:name="_Toc774"/>
      <w:bookmarkStart w:id="166" w:name="_Toc3225"/>
      <w:bookmarkStart w:id="167" w:name="_Toc16110"/>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59"/>
      <w:bookmarkEnd w:id="160"/>
      <w:bookmarkEnd w:id="161"/>
      <w:bookmarkEnd w:id="162"/>
      <w:bookmarkEnd w:id="163"/>
      <w:bookmarkEnd w:id="164"/>
      <w:r>
        <w:rPr>
          <w:rFonts w:asciiTheme="minorEastAsia" w:hAnsiTheme="minorEastAsia" w:eastAsiaTheme="minorEastAsia"/>
          <w:b/>
          <w:bCs/>
          <w:color w:val="auto"/>
          <w:sz w:val="24"/>
          <w:highlight w:val="none"/>
          <w:lang w:val="zh-CN"/>
        </w:rPr>
        <w:t>和保密义务</w:t>
      </w:r>
      <w:bookmarkEnd w:id="165"/>
      <w:bookmarkEnd w:id="166"/>
      <w:bookmarkEnd w:id="167"/>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68" w:name="_Toc7860"/>
      <w:r>
        <w:rPr>
          <w:rFonts w:asciiTheme="minorEastAsia" w:hAnsiTheme="minorEastAsia" w:eastAsiaTheme="minorEastAsia"/>
          <w:b/>
          <w:bCs/>
          <w:color w:val="auto"/>
          <w:sz w:val="24"/>
          <w:highlight w:val="none"/>
          <w:lang w:val="zh-CN"/>
        </w:rPr>
        <w:t>2.8 质量保证</w:t>
      </w:r>
      <w:bookmarkEnd w:id="168"/>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69" w:name="_Toc17244"/>
      <w:bookmarkStart w:id="170" w:name="_Toc487900362"/>
      <w:bookmarkStart w:id="171" w:name="_Toc259093681"/>
      <w:bookmarkStart w:id="172" w:name="_Toc279701252"/>
      <w:r>
        <w:rPr>
          <w:rFonts w:asciiTheme="minorEastAsia" w:hAnsiTheme="minorEastAsia" w:eastAsiaTheme="minorEastAsia"/>
          <w:b/>
          <w:bCs/>
          <w:color w:val="auto"/>
          <w:sz w:val="24"/>
          <w:highlight w:val="none"/>
          <w:lang w:val="zh-CN"/>
        </w:rPr>
        <w:t>2.9 货物的风险负担</w:t>
      </w:r>
      <w:bookmarkEnd w:id="169"/>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3" w:name="_Toc14055"/>
      <w:r>
        <w:rPr>
          <w:rFonts w:asciiTheme="minorEastAsia" w:hAnsiTheme="minorEastAsia" w:eastAsiaTheme="minorEastAsia"/>
          <w:b/>
          <w:bCs/>
          <w:color w:val="auto"/>
          <w:sz w:val="24"/>
          <w:highlight w:val="none"/>
          <w:lang w:val="zh-CN"/>
        </w:rPr>
        <w:t>2.10 延迟交货</w:t>
      </w:r>
      <w:bookmarkEnd w:id="170"/>
      <w:bookmarkEnd w:id="171"/>
      <w:bookmarkEnd w:id="172"/>
      <w:bookmarkEnd w:id="173"/>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4" w:name="_Toc7502"/>
      <w:bookmarkStart w:id="175" w:name="_Toc279701254"/>
      <w:bookmarkStart w:id="176" w:name="_Toc259093683"/>
      <w:bookmarkStart w:id="177" w:name="_Ref467378121"/>
      <w:bookmarkStart w:id="178" w:name="_Toc487900364"/>
      <w:r>
        <w:rPr>
          <w:rFonts w:asciiTheme="minorEastAsia" w:hAnsiTheme="minorEastAsia" w:eastAsiaTheme="minorEastAsia"/>
          <w:b/>
          <w:bCs/>
          <w:color w:val="auto"/>
          <w:sz w:val="24"/>
          <w:highlight w:val="none"/>
          <w:lang w:val="zh-CN"/>
        </w:rPr>
        <w:t>2.11 合同变更</w:t>
      </w:r>
      <w:bookmarkEnd w:id="174"/>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79" w:name="_Toc487900369"/>
      <w:bookmarkStart w:id="180" w:name="_Toc279701259"/>
      <w:bookmarkStart w:id="181" w:name="_Toc259093688"/>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2" w:name="_Toc15237"/>
      <w:bookmarkStart w:id="183" w:name="_Toc22955"/>
      <w:bookmarkStart w:id="184" w:name="_Toc10366"/>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79"/>
      <w:bookmarkEnd w:id="180"/>
      <w:bookmarkEnd w:id="181"/>
      <w:r>
        <w:rPr>
          <w:rFonts w:asciiTheme="minorEastAsia" w:hAnsiTheme="minorEastAsia" w:eastAsiaTheme="minorEastAsia"/>
          <w:b/>
          <w:bCs/>
          <w:color w:val="auto"/>
          <w:sz w:val="24"/>
          <w:highlight w:val="none"/>
          <w:lang w:val="zh-CN"/>
        </w:rPr>
        <w:t>和分包</w:t>
      </w:r>
      <w:bookmarkEnd w:id="182"/>
      <w:bookmarkEnd w:id="183"/>
      <w:bookmarkEnd w:id="184"/>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85" w:name="_Toc16508"/>
      <w:bookmarkStart w:id="186" w:name="_Toc13566"/>
      <w:bookmarkStart w:id="187" w:name="_Toc140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85"/>
      <w:bookmarkEnd w:id="186"/>
      <w:bookmarkEnd w:id="187"/>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88" w:name="_Toc6969"/>
      <w:bookmarkStart w:id="189" w:name="_Toc30676"/>
      <w:bookmarkStart w:id="190" w:name="_Toc259093684"/>
      <w:bookmarkStart w:id="191" w:name="_Toc689"/>
      <w:bookmarkStart w:id="192" w:name="_Toc279701255"/>
      <w:bookmarkStart w:id="193"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88"/>
      <w:bookmarkEnd w:id="189"/>
      <w:bookmarkEnd w:id="190"/>
      <w:bookmarkEnd w:id="191"/>
      <w:bookmarkEnd w:id="192"/>
      <w:bookmarkEnd w:id="193"/>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4" w:name="_Toc259093687"/>
      <w:bookmarkStart w:id="195" w:name="_Toc8298"/>
      <w:bookmarkStart w:id="196" w:name="_Toc16959"/>
      <w:bookmarkStart w:id="197" w:name="_Toc279701258"/>
      <w:bookmarkStart w:id="198" w:name="_Toc7102"/>
      <w:bookmarkStart w:id="199" w:name="_Toc48790036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4"/>
      <w:bookmarkEnd w:id="195"/>
      <w:bookmarkEnd w:id="196"/>
      <w:bookmarkEnd w:id="197"/>
      <w:bookmarkEnd w:id="198"/>
      <w:bookmarkEnd w:id="199"/>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0" w:name="_Toc15387"/>
      <w:bookmarkStart w:id="201" w:name="_Toc29333"/>
      <w:bookmarkStart w:id="202" w:name="_Toc6134"/>
      <w:r>
        <w:rPr>
          <w:rFonts w:hint="eastAsia" w:asciiTheme="minorEastAsia" w:hAnsiTheme="minorEastAsia" w:eastAsiaTheme="minorEastAsia"/>
          <w:b/>
          <w:bCs/>
          <w:color w:val="auto"/>
          <w:sz w:val="24"/>
          <w:highlight w:val="none"/>
          <w:lang w:val="zh-CN"/>
        </w:rPr>
        <w:t>2.16 合同中止、终止</w:t>
      </w:r>
      <w:bookmarkEnd w:id="200"/>
      <w:bookmarkEnd w:id="201"/>
      <w:bookmarkEnd w:id="202"/>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3" w:name="_Toc14563"/>
      <w:bookmarkStart w:id="204" w:name="_Toc6596"/>
      <w:bookmarkStart w:id="205" w:name="_Toc1125"/>
      <w:r>
        <w:rPr>
          <w:rFonts w:hint="eastAsia" w:asciiTheme="minorEastAsia" w:hAnsiTheme="minorEastAsia" w:eastAsiaTheme="minorEastAsia"/>
          <w:b/>
          <w:bCs/>
          <w:color w:val="auto"/>
          <w:sz w:val="24"/>
          <w:highlight w:val="none"/>
          <w:lang w:val="zh-CN"/>
        </w:rPr>
        <w:t>2.17 检验和验收</w:t>
      </w:r>
      <w:bookmarkEnd w:id="203"/>
      <w:bookmarkEnd w:id="204"/>
      <w:bookmarkEnd w:id="205"/>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75"/>
    <w:bookmarkEnd w:id="176"/>
    <w:bookmarkEnd w:id="177"/>
    <w:bookmarkEnd w:id="178"/>
    <w:p w14:paraId="6FD8A597">
      <w:pPr>
        <w:spacing w:line="360" w:lineRule="auto"/>
        <w:ind w:firstLine="437"/>
        <w:outlineLvl w:val="3"/>
        <w:rPr>
          <w:rFonts w:asciiTheme="minorEastAsia" w:hAnsiTheme="minorEastAsia" w:eastAsiaTheme="minorEastAsia"/>
          <w:b/>
          <w:color w:val="auto"/>
          <w:sz w:val="24"/>
          <w:highlight w:val="none"/>
        </w:rPr>
      </w:pPr>
      <w:bookmarkStart w:id="206" w:name="_Toc4355"/>
      <w:bookmarkStart w:id="207" w:name="_Toc487900372"/>
      <w:bookmarkStart w:id="208" w:name="_Toc18540"/>
      <w:bookmarkStart w:id="209" w:name="_Toc259093691"/>
      <w:bookmarkStart w:id="210" w:name="_Toc30599"/>
      <w:bookmarkStart w:id="211" w:name="_Toc279701262"/>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6"/>
      <w:bookmarkEnd w:id="207"/>
      <w:bookmarkEnd w:id="208"/>
      <w:bookmarkEnd w:id="209"/>
      <w:bookmarkEnd w:id="210"/>
      <w:bookmarkEnd w:id="211"/>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2" w:name="_Toc12773"/>
      <w:bookmarkStart w:id="213" w:name="_Toc18567"/>
      <w:bookmarkStart w:id="214" w:name="_Toc279701263"/>
      <w:bookmarkStart w:id="215" w:name="_Toc10330"/>
      <w:bookmarkStart w:id="216" w:name="_Toc487900373"/>
      <w:bookmarkStart w:id="217" w:name="_Toc259093692"/>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2"/>
      <w:bookmarkEnd w:id="213"/>
      <w:bookmarkEnd w:id="214"/>
      <w:bookmarkEnd w:id="215"/>
      <w:bookmarkEnd w:id="216"/>
      <w:bookmarkEnd w:id="217"/>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18" w:name="_Toc3148"/>
      <w:bookmarkStart w:id="219" w:name="_Toc12004"/>
      <w:bookmarkStart w:id="220" w:name="_Toc16673"/>
      <w:bookmarkStart w:id="221" w:name="_Toc259093693"/>
      <w:bookmarkStart w:id="222" w:name="_Toc279701264"/>
      <w:bookmarkStart w:id="223"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18"/>
      <w:bookmarkEnd w:id="219"/>
      <w:bookmarkEnd w:id="220"/>
      <w:bookmarkEnd w:id="221"/>
      <w:bookmarkEnd w:id="222"/>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3"/>
    <w:p w14:paraId="55C2B585">
      <w:pPr>
        <w:spacing w:line="360" w:lineRule="auto"/>
        <w:ind w:firstLine="437"/>
        <w:outlineLvl w:val="3"/>
        <w:rPr>
          <w:rFonts w:asciiTheme="minorEastAsia" w:hAnsiTheme="minorEastAsia" w:eastAsiaTheme="minorEastAsia"/>
          <w:b/>
          <w:color w:val="auto"/>
          <w:sz w:val="24"/>
          <w:highlight w:val="none"/>
        </w:rPr>
      </w:pPr>
      <w:bookmarkStart w:id="224" w:name="_Toc19890"/>
      <w:bookmarkStart w:id="225" w:name="_Toc6885"/>
      <w:bookmarkStart w:id="226" w:name="_Toc14001"/>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4"/>
      <w:bookmarkEnd w:id="225"/>
      <w:bookmarkEnd w:id="226"/>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427DA7AB">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bookmarkStart w:id="227" w:name="_Toc331685784"/>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bookmarkEnd w:id="227"/>
    </w:p>
    <w:p w14:paraId="3E32BFC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39"/>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36C5F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052AAC10">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01B0BAC7">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72363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08382434">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71CCFBEF">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验收合格后按实结算</w:t>
            </w:r>
          </w:p>
        </w:tc>
      </w:tr>
      <w:tr w14:paraId="73907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33B08C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018AF6C9">
            <w:pPr>
              <w:spacing w:line="360" w:lineRule="auto"/>
              <w:outlineLvl w:val="3"/>
              <w:rPr>
                <w:rFonts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检验和验收：抽样送纤维检验部门检测</w:t>
            </w:r>
          </w:p>
        </w:tc>
      </w:tr>
      <w:tr w14:paraId="291C15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3CC2C0B">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147E2A65">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19773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363F51C">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236A807E">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2078A0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AF59D8C">
            <w:pPr>
              <w:spacing w:line="560" w:lineRule="exact"/>
              <w:rPr>
                <w:rFonts w:asciiTheme="minorEastAsia" w:hAnsiTheme="minorEastAsia" w:eastAsiaTheme="minorEastAsia"/>
                <w:color w:val="auto"/>
                <w:sz w:val="24"/>
                <w:highlight w:val="none"/>
              </w:rPr>
            </w:pPr>
          </w:p>
        </w:tc>
        <w:tc>
          <w:tcPr>
            <w:tcW w:w="8259" w:type="dxa"/>
            <w:vAlign w:val="center"/>
          </w:tcPr>
          <w:p w14:paraId="3E9ADF3E">
            <w:pPr>
              <w:spacing w:line="560" w:lineRule="exact"/>
              <w:rPr>
                <w:rFonts w:asciiTheme="minorEastAsia" w:hAnsiTheme="minorEastAsia" w:eastAsiaTheme="minorEastAsia"/>
                <w:color w:val="auto"/>
                <w:sz w:val="24"/>
                <w:highlight w:val="none"/>
                <w:u w:val="single"/>
              </w:rPr>
            </w:pPr>
          </w:p>
        </w:tc>
      </w:tr>
      <w:tr w14:paraId="02A61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D418091">
            <w:pPr>
              <w:spacing w:line="560" w:lineRule="exact"/>
              <w:rPr>
                <w:rFonts w:asciiTheme="minorEastAsia" w:hAnsiTheme="minorEastAsia" w:eastAsiaTheme="minorEastAsia"/>
                <w:color w:val="auto"/>
                <w:sz w:val="24"/>
                <w:highlight w:val="none"/>
              </w:rPr>
            </w:pPr>
          </w:p>
        </w:tc>
        <w:tc>
          <w:tcPr>
            <w:tcW w:w="8259" w:type="dxa"/>
            <w:vAlign w:val="center"/>
          </w:tcPr>
          <w:p w14:paraId="28C04304">
            <w:pPr>
              <w:spacing w:line="560" w:lineRule="exact"/>
              <w:rPr>
                <w:rFonts w:asciiTheme="minorEastAsia" w:hAnsiTheme="minorEastAsia" w:eastAsiaTheme="minorEastAsia"/>
                <w:color w:val="auto"/>
                <w:sz w:val="24"/>
                <w:highlight w:val="none"/>
              </w:rPr>
            </w:pPr>
          </w:p>
        </w:tc>
      </w:tr>
      <w:tr w14:paraId="003F0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93448B0">
            <w:pPr>
              <w:spacing w:line="560" w:lineRule="exact"/>
              <w:rPr>
                <w:rFonts w:asciiTheme="minorEastAsia" w:hAnsiTheme="minorEastAsia" w:eastAsiaTheme="minorEastAsia"/>
                <w:color w:val="auto"/>
                <w:sz w:val="24"/>
                <w:highlight w:val="none"/>
              </w:rPr>
            </w:pPr>
          </w:p>
        </w:tc>
        <w:tc>
          <w:tcPr>
            <w:tcW w:w="8259" w:type="dxa"/>
            <w:vAlign w:val="center"/>
          </w:tcPr>
          <w:p w14:paraId="0E1F0462">
            <w:pPr>
              <w:spacing w:line="560" w:lineRule="exact"/>
              <w:rPr>
                <w:rFonts w:asciiTheme="minorEastAsia" w:hAnsiTheme="minorEastAsia" w:eastAsiaTheme="minorEastAsia"/>
                <w:color w:val="auto"/>
                <w:sz w:val="24"/>
                <w:highlight w:val="none"/>
                <w:u w:val="single"/>
              </w:rPr>
            </w:pPr>
          </w:p>
        </w:tc>
      </w:tr>
      <w:tr w14:paraId="37ADB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934A6EB">
            <w:pPr>
              <w:spacing w:line="560" w:lineRule="exact"/>
              <w:rPr>
                <w:rFonts w:asciiTheme="minorEastAsia" w:hAnsiTheme="minorEastAsia" w:eastAsiaTheme="minorEastAsia"/>
                <w:color w:val="auto"/>
                <w:sz w:val="24"/>
                <w:highlight w:val="none"/>
              </w:rPr>
            </w:pPr>
          </w:p>
        </w:tc>
        <w:tc>
          <w:tcPr>
            <w:tcW w:w="8259" w:type="dxa"/>
            <w:vAlign w:val="center"/>
          </w:tcPr>
          <w:p w14:paraId="76D8E67D">
            <w:pPr>
              <w:spacing w:line="560" w:lineRule="exact"/>
              <w:rPr>
                <w:rFonts w:asciiTheme="minorEastAsia" w:hAnsiTheme="minorEastAsia" w:eastAsiaTheme="minorEastAsia"/>
                <w:color w:val="auto"/>
                <w:sz w:val="24"/>
                <w:highlight w:val="none"/>
              </w:rPr>
            </w:pPr>
          </w:p>
        </w:tc>
      </w:tr>
      <w:tr w14:paraId="65D32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58013F4">
            <w:pPr>
              <w:spacing w:line="560" w:lineRule="exact"/>
              <w:rPr>
                <w:rFonts w:asciiTheme="minorEastAsia" w:hAnsiTheme="minorEastAsia" w:eastAsiaTheme="minorEastAsia"/>
                <w:color w:val="auto"/>
                <w:sz w:val="24"/>
                <w:highlight w:val="none"/>
              </w:rPr>
            </w:pPr>
          </w:p>
        </w:tc>
        <w:tc>
          <w:tcPr>
            <w:tcW w:w="8259" w:type="dxa"/>
            <w:vAlign w:val="center"/>
          </w:tcPr>
          <w:p w14:paraId="60902265">
            <w:pPr>
              <w:spacing w:line="560" w:lineRule="exact"/>
              <w:rPr>
                <w:rFonts w:asciiTheme="minorEastAsia" w:hAnsiTheme="minorEastAsia" w:eastAsiaTheme="minorEastAsia"/>
                <w:color w:val="auto"/>
                <w:sz w:val="24"/>
                <w:highlight w:val="none"/>
              </w:rPr>
            </w:pPr>
          </w:p>
        </w:tc>
      </w:tr>
      <w:tr w14:paraId="74D5D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2859043">
            <w:pPr>
              <w:spacing w:line="560" w:lineRule="exact"/>
              <w:rPr>
                <w:rFonts w:asciiTheme="minorEastAsia" w:hAnsiTheme="minorEastAsia" w:eastAsiaTheme="minorEastAsia"/>
                <w:color w:val="auto"/>
                <w:sz w:val="24"/>
                <w:highlight w:val="none"/>
              </w:rPr>
            </w:pPr>
          </w:p>
        </w:tc>
        <w:tc>
          <w:tcPr>
            <w:tcW w:w="8259" w:type="dxa"/>
            <w:vAlign w:val="center"/>
          </w:tcPr>
          <w:p w14:paraId="389DC64D">
            <w:pPr>
              <w:spacing w:line="560" w:lineRule="exact"/>
              <w:rPr>
                <w:rFonts w:asciiTheme="minorEastAsia" w:hAnsiTheme="minorEastAsia" w:eastAsiaTheme="minorEastAsia"/>
                <w:color w:val="auto"/>
                <w:sz w:val="24"/>
                <w:highlight w:val="none"/>
              </w:rPr>
            </w:pPr>
          </w:p>
        </w:tc>
      </w:tr>
      <w:tr w14:paraId="6B45F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DC71E11">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40F458">
            <w:pPr>
              <w:spacing w:line="560" w:lineRule="exact"/>
              <w:rPr>
                <w:rFonts w:asciiTheme="minorEastAsia" w:hAnsiTheme="minorEastAsia" w:eastAsiaTheme="minorEastAsia"/>
                <w:color w:val="auto"/>
                <w:sz w:val="24"/>
                <w:highlight w:val="none"/>
              </w:rPr>
            </w:pPr>
          </w:p>
        </w:tc>
      </w:tr>
      <w:tr w14:paraId="2163E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20A31B0">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026FCB21">
            <w:pPr>
              <w:spacing w:line="560" w:lineRule="exact"/>
              <w:rPr>
                <w:rFonts w:asciiTheme="minorEastAsia" w:hAnsiTheme="minorEastAsia" w:eastAsiaTheme="minorEastAsia"/>
                <w:color w:val="auto"/>
                <w:sz w:val="24"/>
                <w:highlight w:val="none"/>
              </w:rPr>
            </w:pPr>
          </w:p>
        </w:tc>
      </w:tr>
      <w:tr w14:paraId="07530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800393C">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1A675BAA">
            <w:pPr>
              <w:spacing w:line="560" w:lineRule="exact"/>
              <w:rPr>
                <w:rFonts w:asciiTheme="minorEastAsia" w:hAnsiTheme="minorEastAsia" w:eastAsiaTheme="minorEastAsia"/>
                <w:color w:val="auto"/>
                <w:sz w:val="24"/>
                <w:highlight w:val="none"/>
              </w:rPr>
            </w:pPr>
          </w:p>
        </w:tc>
      </w:tr>
    </w:tbl>
    <w:p w14:paraId="4A339DF6">
      <w:pPr>
        <w:pStyle w:val="47"/>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5"/>
        <w:rPr>
          <w:rFonts w:ascii="宋体" w:hAnsi="宋体" w:cs="宋体"/>
          <w:color w:val="auto"/>
          <w:szCs w:val="21"/>
          <w:highlight w:val="none"/>
        </w:rPr>
      </w:pPr>
    </w:p>
    <w:p w14:paraId="2255EC6F">
      <w:pPr>
        <w:pStyle w:val="5"/>
        <w:rPr>
          <w:rFonts w:ascii="宋体" w:hAnsi="宋体" w:cs="宋体"/>
          <w:color w:val="auto"/>
          <w:szCs w:val="21"/>
          <w:highlight w:val="none"/>
        </w:rPr>
      </w:pPr>
    </w:p>
    <w:p w14:paraId="691D0E3E">
      <w:pPr>
        <w:pStyle w:val="5"/>
        <w:rPr>
          <w:rFonts w:ascii="宋体" w:hAnsi="宋体" w:cs="宋体"/>
          <w:color w:val="auto"/>
          <w:szCs w:val="21"/>
          <w:highlight w:val="none"/>
        </w:rPr>
      </w:pPr>
    </w:p>
    <w:p w14:paraId="1D2F2307">
      <w:pPr>
        <w:pStyle w:val="5"/>
        <w:rPr>
          <w:rFonts w:ascii="宋体" w:hAnsi="宋体" w:cs="宋体"/>
          <w:color w:val="auto"/>
          <w:szCs w:val="21"/>
          <w:highlight w:val="none"/>
        </w:rPr>
      </w:pPr>
    </w:p>
    <w:p w14:paraId="76EA29AD">
      <w:pPr>
        <w:pStyle w:val="5"/>
        <w:ind w:left="0" w:leftChars="0" w:firstLine="0" w:firstLineChars="0"/>
        <w:rPr>
          <w:rFonts w:ascii="宋体" w:hAnsi="宋体" w:cs="宋体"/>
          <w:color w:val="auto"/>
          <w:szCs w:val="21"/>
          <w:highlight w:val="none"/>
        </w:rPr>
      </w:pPr>
    </w:p>
    <w:p w14:paraId="6AD388B3">
      <w:pPr>
        <w:pStyle w:val="5"/>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28" w:name="_Toc1812"/>
      <w:bookmarkStart w:id="229" w:name="_Toc439316880"/>
      <w:bookmarkStart w:id="230" w:name="_Toc8981"/>
      <w:bookmarkStart w:id="23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2" w:name="_Toc417656001"/>
      <w:r>
        <w:rPr>
          <w:rFonts w:hint="eastAsia" w:ascii="Arial" w:hAnsi="Arial"/>
          <w:color w:val="auto"/>
          <w:kern w:val="2"/>
          <w:sz w:val="36"/>
          <w:szCs w:val="36"/>
          <w:highlight w:val="none"/>
        </w:rPr>
        <w:t>响应文件格式</w:t>
      </w:r>
      <w:bookmarkEnd w:id="228"/>
      <w:bookmarkEnd w:id="229"/>
      <w:bookmarkEnd w:id="230"/>
      <w:bookmarkEnd w:id="231"/>
      <w:bookmarkEnd w:id="232"/>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3" w:name="_Hlk44287576"/>
      <w:r>
        <w:rPr>
          <w:rFonts w:hint="eastAsia" w:ascii="宋体" w:hAnsi="宋体" w:eastAsia="宋体"/>
          <w:color w:val="auto"/>
          <w:sz w:val="24"/>
          <w:highlight w:val="none"/>
        </w:rPr>
        <w:t>竞争性谈判公告</w:t>
      </w:r>
      <w:bookmarkEnd w:id="233"/>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4" w:name="_Toc476584434"/>
      <w:bookmarkStart w:id="235" w:name="_Toc54941343"/>
      <w:bookmarkStart w:id="236" w:name="_Toc28034"/>
      <w:bookmarkStart w:id="237" w:name="_Toc32647"/>
      <w:bookmarkStart w:id="238" w:name="_Toc28153"/>
      <w:bookmarkStart w:id="239"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4"/>
      <w:bookmarkEnd w:id="235"/>
      <w:bookmarkEnd w:id="236"/>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/套</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/套</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0"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0"/>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5231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45133A5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17674B2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2EC9E45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3E8EB3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55DC260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7E45892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0813E6C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3554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4F20274F">
            <w:pPr>
              <w:spacing w:line="360" w:lineRule="auto"/>
              <w:jc w:val="center"/>
              <w:rPr>
                <w:rFonts w:ascii="宋体" w:hAnsi="宋体" w:cs="宋体"/>
                <w:color w:val="auto"/>
                <w:spacing w:val="-4"/>
                <w:szCs w:val="21"/>
                <w:highlight w:val="none"/>
              </w:rPr>
            </w:pPr>
          </w:p>
        </w:tc>
        <w:tc>
          <w:tcPr>
            <w:tcW w:w="1275" w:type="dxa"/>
            <w:vAlign w:val="center"/>
          </w:tcPr>
          <w:p w14:paraId="50A89C17">
            <w:pPr>
              <w:spacing w:line="360" w:lineRule="auto"/>
              <w:jc w:val="center"/>
              <w:rPr>
                <w:rFonts w:ascii="宋体" w:hAnsi="宋体" w:cs="宋体"/>
                <w:color w:val="auto"/>
                <w:szCs w:val="21"/>
                <w:highlight w:val="none"/>
              </w:rPr>
            </w:pPr>
          </w:p>
        </w:tc>
        <w:tc>
          <w:tcPr>
            <w:tcW w:w="2505" w:type="dxa"/>
            <w:vAlign w:val="center"/>
          </w:tcPr>
          <w:p w14:paraId="604A3D5C">
            <w:pPr>
              <w:spacing w:line="360" w:lineRule="auto"/>
              <w:jc w:val="center"/>
              <w:rPr>
                <w:rFonts w:ascii="宋体" w:hAnsi="宋体" w:cs="宋体"/>
                <w:color w:val="auto"/>
                <w:szCs w:val="21"/>
                <w:highlight w:val="none"/>
              </w:rPr>
            </w:pPr>
          </w:p>
        </w:tc>
        <w:tc>
          <w:tcPr>
            <w:tcW w:w="795" w:type="dxa"/>
            <w:vAlign w:val="center"/>
          </w:tcPr>
          <w:p w14:paraId="47E23E32">
            <w:pPr>
              <w:spacing w:line="360" w:lineRule="auto"/>
              <w:jc w:val="center"/>
              <w:rPr>
                <w:rFonts w:ascii="宋体" w:hAnsi="宋体" w:cs="宋体"/>
                <w:color w:val="auto"/>
                <w:szCs w:val="21"/>
                <w:highlight w:val="none"/>
              </w:rPr>
            </w:pPr>
          </w:p>
        </w:tc>
        <w:tc>
          <w:tcPr>
            <w:tcW w:w="675" w:type="dxa"/>
            <w:vAlign w:val="center"/>
          </w:tcPr>
          <w:p w14:paraId="0E4D5BE5">
            <w:pPr>
              <w:spacing w:line="360" w:lineRule="auto"/>
              <w:jc w:val="center"/>
              <w:rPr>
                <w:rFonts w:ascii="宋体" w:hAnsi="宋体" w:cs="宋体"/>
                <w:color w:val="auto"/>
                <w:szCs w:val="21"/>
                <w:highlight w:val="none"/>
              </w:rPr>
            </w:pPr>
          </w:p>
        </w:tc>
        <w:tc>
          <w:tcPr>
            <w:tcW w:w="1107" w:type="dxa"/>
            <w:vAlign w:val="center"/>
          </w:tcPr>
          <w:p w14:paraId="1F751F76">
            <w:pPr>
              <w:spacing w:line="360" w:lineRule="auto"/>
              <w:jc w:val="center"/>
              <w:rPr>
                <w:rFonts w:ascii="宋体" w:hAnsi="宋体" w:cs="宋体"/>
                <w:color w:val="auto"/>
                <w:szCs w:val="21"/>
                <w:highlight w:val="none"/>
              </w:rPr>
            </w:pPr>
          </w:p>
        </w:tc>
        <w:tc>
          <w:tcPr>
            <w:tcW w:w="1228" w:type="dxa"/>
            <w:vAlign w:val="center"/>
          </w:tcPr>
          <w:p w14:paraId="4CD80619">
            <w:pPr>
              <w:spacing w:line="360" w:lineRule="auto"/>
              <w:jc w:val="center"/>
              <w:rPr>
                <w:rFonts w:ascii="宋体" w:hAnsi="宋体" w:cs="宋体"/>
                <w:color w:val="auto"/>
                <w:szCs w:val="21"/>
                <w:highlight w:val="none"/>
              </w:rPr>
            </w:pPr>
          </w:p>
        </w:tc>
      </w:tr>
      <w:tr w14:paraId="2F16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5A2CD12">
            <w:pPr>
              <w:spacing w:line="360" w:lineRule="auto"/>
              <w:jc w:val="center"/>
              <w:rPr>
                <w:rFonts w:ascii="宋体" w:hAnsi="宋体" w:cs="宋体"/>
                <w:color w:val="auto"/>
                <w:spacing w:val="-4"/>
                <w:szCs w:val="21"/>
                <w:highlight w:val="none"/>
              </w:rPr>
            </w:pPr>
          </w:p>
        </w:tc>
        <w:tc>
          <w:tcPr>
            <w:tcW w:w="1275" w:type="dxa"/>
            <w:vAlign w:val="center"/>
          </w:tcPr>
          <w:p w14:paraId="3EA06E3F">
            <w:pPr>
              <w:spacing w:line="360" w:lineRule="auto"/>
              <w:jc w:val="center"/>
              <w:rPr>
                <w:rFonts w:ascii="宋体" w:hAnsi="宋体" w:cs="宋体"/>
                <w:color w:val="auto"/>
                <w:szCs w:val="21"/>
                <w:highlight w:val="none"/>
              </w:rPr>
            </w:pPr>
          </w:p>
        </w:tc>
        <w:tc>
          <w:tcPr>
            <w:tcW w:w="2505" w:type="dxa"/>
            <w:vAlign w:val="center"/>
          </w:tcPr>
          <w:p w14:paraId="13621714">
            <w:pPr>
              <w:spacing w:line="360" w:lineRule="auto"/>
              <w:jc w:val="center"/>
              <w:rPr>
                <w:rFonts w:ascii="宋体" w:hAnsi="宋体" w:cs="宋体"/>
                <w:color w:val="auto"/>
                <w:szCs w:val="21"/>
                <w:highlight w:val="none"/>
              </w:rPr>
            </w:pPr>
          </w:p>
        </w:tc>
        <w:tc>
          <w:tcPr>
            <w:tcW w:w="795" w:type="dxa"/>
            <w:vAlign w:val="center"/>
          </w:tcPr>
          <w:p w14:paraId="1D113095">
            <w:pPr>
              <w:spacing w:line="360" w:lineRule="auto"/>
              <w:jc w:val="center"/>
              <w:rPr>
                <w:rFonts w:ascii="宋体" w:hAnsi="宋体" w:cs="宋体"/>
                <w:color w:val="auto"/>
                <w:szCs w:val="21"/>
                <w:highlight w:val="none"/>
              </w:rPr>
            </w:pPr>
          </w:p>
        </w:tc>
        <w:tc>
          <w:tcPr>
            <w:tcW w:w="675" w:type="dxa"/>
            <w:vAlign w:val="center"/>
          </w:tcPr>
          <w:p w14:paraId="2CAAD23E">
            <w:pPr>
              <w:spacing w:line="360" w:lineRule="auto"/>
              <w:jc w:val="center"/>
              <w:rPr>
                <w:rFonts w:ascii="宋体" w:hAnsi="宋体" w:cs="宋体"/>
                <w:color w:val="auto"/>
                <w:szCs w:val="21"/>
                <w:highlight w:val="none"/>
              </w:rPr>
            </w:pPr>
          </w:p>
        </w:tc>
        <w:tc>
          <w:tcPr>
            <w:tcW w:w="1107" w:type="dxa"/>
            <w:vAlign w:val="center"/>
          </w:tcPr>
          <w:p w14:paraId="50F1B56E">
            <w:pPr>
              <w:spacing w:line="360" w:lineRule="auto"/>
              <w:jc w:val="center"/>
              <w:rPr>
                <w:rFonts w:ascii="宋体" w:hAnsi="宋体" w:cs="宋体"/>
                <w:color w:val="auto"/>
                <w:szCs w:val="21"/>
                <w:highlight w:val="none"/>
              </w:rPr>
            </w:pPr>
          </w:p>
        </w:tc>
        <w:tc>
          <w:tcPr>
            <w:tcW w:w="1228" w:type="dxa"/>
            <w:vAlign w:val="center"/>
          </w:tcPr>
          <w:p w14:paraId="05A76A29">
            <w:pPr>
              <w:spacing w:line="360" w:lineRule="auto"/>
              <w:jc w:val="center"/>
              <w:rPr>
                <w:rFonts w:ascii="宋体" w:hAnsi="宋体" w:cs="宋体"/>
                <w:color w:val="auto"/>
                <w:szCs w:val="21"/>
                <w:highlight w:val="none"/>
              </w:rPr>
            </w:pPr>
          </w:p>
        </w:tc>
      </w:tr>
      <w:tr w14:paraId="67BD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022A30A">
            <w:pPr>
              <w:spacing w:line="360" w:lineRule="auto"/>
              <w:jc w:val="center"/>
              <w:rPr>
                <w:rFonts w:ascii="宋体" w:hAnsi="宋体" w:cs="宋体"/>
                <w:color w:val="auto"/>
                <w:spacing w:val="-4"/>
                <w:szCs w:val="21"/>
                <w:highlight w:val="none"/>
              </w:rPr>
            </w:pPr>
          </w:p>
        </w:tc>
        <w:tc>
          <w:tcPr>
            <w:tcW w:w="1275" w:type="dxa"/>
            <w:vAlign w:val="center"/>
          </w:tcPr>
          <w:p w14:paraId="7530A4BD">
            <w:pPr>
              <w:spacing w:line="360" w:lineRule="auto"/>
              <w:jc w:val="center"/>
              <w:rPr>
                <w:rFonts w:ascii="宋体" w:hAnsi="宋体" w:cs="宋体"/>
                <w:color w:val="auto"/>
                <w:szCs w:val="21"/>
                <w:highlight w:val="none"/>
              </w:rPr>
            </w:pPr>
          </w:p>
        </w:tc>
        <w:tc>
          <w:tcPr>
            <w:tcW w:w="2505" w:type="dxa"/>
            <w:vAlign w:val="center"/>
          </w:tcPr>
          <w:p w14:paraId="353BC17B">
            <w:pPr>
              <w:spacing w:line="360" w:lineRule="auto"/>
              <w:jc w:val="center"/>
              <w:rPr>
                <w:rFonts w:ascii="宋体" w:hAnsi="宋体" w:cs="宋体"/>
                <w:color w:val="auto"/>
                <w:szCs w:val="21"/>
                <w:highlight w:val="none"/>
              </w:rPr>
            </w:pPr>
          </w:p>
        </w:tc>
        <w:tc>
          <w:tcPr>
            <w:tcW w:w="795" w:type="dxa"/>
            <w:vAlign w:val="center"/>
          </w:tcPr>
          <w:p w14:paraId="0F3F3A90">
            <w:pPr>
              <w:spacing w:line="360" w:lineRule="auto"/>
              <w:jc w:val="center"/>
              <w:rPr>
                <w:rFonts w:ascii="宋体" w:hAnsi="宋体" w:cs="宋体"/>
                <w:color w:val="auto"/>
                <w:szCs w:val="21"/>
                <w:highlight w:val="none"/>
              </w:rPr>
            </w:pPr>
          </w:p>
        </w:tc>
        <w:tc>
          <w:tcPr>
            <w:tcW w:w="675" w:type="dxa"/>
            <w:vAlign w:val="center"/>
          </w:tcPr>
          <w:p w14:paraId="1023C6D5">
            <w:pPr>
              <w:spacing w:line="360" w:lineRule="auto"/>
              <w:jc w:val="center"/>
              <w:rPr>
                <w:rFonts w:ascii="宋体" w:hAnsi="宋体" w:cs="宋体"/>
                <w:color w:val="auto"/>
                <w:szCs w:val="21"/>
                <w:highlight w:val="none"/>
              </w:rPr>
            </w:pPr>
          </w:p>
        </w:tc>
        <w:tc>
          <w:tcPr>
            <w:tcW w:w="1107" w:type="dxa"/>
            <w:vAlign w:val="center"/>
          </w:tcPr>
          <w:p w14:paraId="218EEE09">
            <w:pPr>
              <w:spacing w:line="360" w:lineRule="auto"/>
              <w:jc w:val="center"/>
              <w:rPr>
                <w:rFonts w:ascii="宋体" w:hAnsi="宋体" w:cs="宋体"/>
                <w:color w:val="auto"/>
                <w:szCs w:val="21"/>
                <w:highlight w:val="none"/>
              </w:rPr>
            </w:pPr>
          </w:p>
        </w:tc>
        <w:tc>
          <w:tcPr>
            <w:tcW w:w="1228" w:type="dxa"/>
            <w:vAlign w:val="center"/>
          </w:tcPr>
          <w:p w14:paraId="0FAD743D">
            <w:pPr>
              <w:spacing w:line="360" w:lineRule="auto"/>
              <w:jc w:val="center"/>
              <w:rPr>
                <w:rFonts w:ascii="宋体" w:hAnsi="宋体" w:cs="宋体"/>
                <w:color w:val="auto"/>
                <w:szCs w:val="21"/>
                <w:highlight w:val="none"/>
              </w:rPr>
            </w:pPr>
          </w:p>
        </w:tc>
      </w:tr>
      <w:tr w14:paraId="54B5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E08C794">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58602557">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6A32C34B">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37AB702">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37"/>
    <w:bookmarkEnd w:id="238"/>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39"/>
    <w:p w14:paraId="1CD7AC60">
      <w:pPr>
        <w:spacing w:line="360" w:lineRule="auto"/>
        <w:ind w:firstLine="210" w:firstLineChars="100"/>
        <w:rPr>
          <w:rFonts w:ascii="宋体" w:hAnsi="宋体"/>
          <w:color w:val="auto"/>
          <w:szCs w:val="21"/>
          <w:highlight w:val="none"/>
        </w:rPr>
      </w:pPr>
      <w:bookmarkStart w:id="241" w:name="_Toc54941345"/>
      <w:bookmarkStart w:id="242" w:name="_Toc476584436"/>
      <w:bookmarkStart w:id="243" w:name="_Toc15038"/>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4"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4"/>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8FACE1A">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7"/>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1"/>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8"/>
        <w:tabs>
          <w:tab w:val="left" w:pos="2730"/>
        </w:tabs>
        <w:rPr>
          <w:rFonts w:ascii="宋体"/>
          <w:color w:val="auto"/>
          <w:szCs w:val="21"/>
          <w:highlight w:val="none"/>
        </w:rPr>
      </w:pPr>
    </w:p>
    <w:p w14:paraId="074CDB1D">
      <w:pPr>
        <w:rPr>
          <w:rFonts w:ascii="宋体"/>
          <w:color w:val="auto"/>
          <w:szCs w:val="21"/>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2"/>
    <w:bookmarkEnd w:id="243"/>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5" w:name="_Toc2920"/>
      <w:bookmarkStart w:id="24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45"/>
      <w:bookmarkEnd w:id="246"/>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47" w:name="_Toc25547"/>
      <w:bookmarkStart w:id="24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7"/>
      <w:bookmarkEnd w:id="248"/>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49" w:name="_Toc7076"/>
      <w:r>
        <w:rPr>
          <w:rFonts w:hint="eastAsia" w:hAnsi="宋体"/>
          <w:color w:val="auto"/>
          <w:sz w:val="28"/>
          <w:szCs w:val="28"/>
          <w:highlight w:val="none"/>
          <w:lang w:val="en-US" w:eastAsia="zh-CN"/>
        </w:rPr>
        <w:br w:type="page"/>
      </w:r>
    </w:p>
    <w:bookmarkEnd w:id="249"/>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0" w:name="_Toc9439"/>
      <w:r>
        <w:rPr>
          <w:rFonts w:hint="eastAsia"/>
          <w:color w:val="auto"/>
          <w:sz w:val="28"/>
          <w:szCs w:val="28"/>
          <w:highlight w:val="none"/>
          <w:lang w:val="en-US" w:eastAsia="zh-CN"/>
        </w:rPr>
        <w:t>八、残疾人福利性单位声明函</w:t>
      </w:r>
      <w:bookmarkEnd w:id="250"/>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6DB7BEB">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1" w:name="_Toc26186"/>
      <w:bookmarkStart w:id="252" w:name="_Toc22272"/>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1"/>
      <w:bookmarkEnd w:id="252"/>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0A645A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253" w:name="_Toc32741"/>
      <w:bookmarkStart w:id="254" w:name="_Toc12703"/>
      <w:bookmarkStart w:id="255" w:name="_Toc8573"/>
      <w:bookmarkStart w:id="25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253"/>
      <w:bookmarkEnd w:id="254"/>
      <w:bookmarkEnd w:id="255"/>
      <w:bookmarkEnd w:id="256"/>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5CBB3C6E"/>
    <w:multiLevelType w:val="singleLevel"/>
    <w:tmpl w:val="5CBB3C6E"/>
    <w:lvl w:ilvl="0" w:tentative="0">
      <w:start w:val="1"/>
      <w:numFmt w:val="decimal"/>
      <w:suff w:val="space"/>
      <w:lvlText w:val="%1."/>
      <w:lvlJc w:val="left"/>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abstractNum w:abstractNumId="6">
    <w:nsid w:val="7F8EED0D"/>
    <w:multiLevelType w:val="singleLevel"/>
    <w:tmpl w:val="7F8EED0D"/>
    <w:lvl w:ilvl="0" w:tentative="0">
      <w:start w:val="37"/>
      <w:numFmt w:val="decimal"/>
      <w:suff w:val="nothing"/>
      <w:lvlText w:val="%1、"/>
      <w:lvlJc w:val="left"/>
    </w:lvl>
  </w:abstractNum>
  <w:num w:numId="1">
    <w:abstractNumId w:val="1"/>
  </w:num>
  <w:num w:numId="2">
    <w:abstractNumId w:val="6"/>
  </w:num>
  <w:num w:numId="3">
    <w:abstractNumId w:val="0"/>
  </w:num>
  <w:num w:numId="4">
    <w:abstractNumId w:val="4"/>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30C62676"/>
    <w:rsid w:val="388A16E7"/>
    <w:rsid w:val="3CC75F2B"/>
    <w:rsid w:val="43964717"/>
    <w:rsid w:val="43BE3353"/>
    <w:rsid w:val="443D4540"/>
    <w:rsid w:val="45553AE5"/>
    <w:rsid w:val="47D26073"/>
    <w:rsid w:val="47E75CBA"/>
    <w:rsid w:val="4B700D53"/>
    <w:rsid w:val="4BDA12B0"/>
    <w:rsid w:val="4D317F5A"/>
    <w:rsid w:val="536D2F2E"/>
    <w:rsid w:val="546D21DB"/>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49</Pages>
  <Words>22156</Words>
  <Characters>23321</Characters>
  <Lines>29</Lines>
  <Paragraphs>8</Paragraphs>
  <TotalTime>2</TotalTime>
  <ScaleCrop>false</ScaleCrop>
  <LinksUpToDate>false</LinksUpToDate>
  <CharactersWithSpaces>26084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2024-07-16T05:02:44Z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7E20E0187FB947C488EF0660FDA56B81_13</vt:lpwstr>
  </property>
</Properties>
</file>