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13"/>
        <w:ind w:left="0" w:leftChars="0" w:firstLine="0" w:firstLineChars="0"/>
      </w:pPr>
    </w:p>
    <w:p w14:paraId="71EAB638">
      <w:pPr>
        <w:spacing w:line="360" w:lineRule="auto"/>
        <w:ind w:firstLine="562" w:firstLineChars="100"/>
        <w:jc w:val="center"/>
        <w:rPr>
          <w:rFonts w:hint="default" w:ascii="宋体" w:hAnsi="宋体" w:eastAsia="宋体" w:cs="宋体"/>
          <w:b/>
          <w:color w:val="auto"/>
          <w:sz w:val="56"/>
          <w:szCs w:val="56"/>
          <w:highlight w:val="none"/>
          <w:lang w:val="en-US" w:eastAsia="zh-CN"/>
        </w:rPr>
      </w:pPr>
      <w:r>
        <w:rPr>
          <w:rFonts w:hint="eastAsia" w:ascii="宋体" w:hAnsi="宋体" w:cs="宋体"/>
          <w:b/>
          <w:color w:val="auto"/>
          <w:sz w:val="56"/>
          <w:szCs w:val="56"/>
          <w:highlight w:val="none"/>
          <w:lang w:val="en-US" w:eastAsia="zh-CN"/>
        </w:rPr>
        <w:t>桐城师范高等专科学校交通班车租赁服务采购项目</w:t>
      </w:r>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019 </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42D3256F">
      <w:pPr>
        <w:spacing w:line="480" w:lineRule="exact"/>
        <w:jc w:val="center"/>
        <w:rPr>
          <w:rFonts w:hint="eastAsia" w:ascii="黑体" w:hAnsi="黑体" w:eastAsia="黑体" w:cs="宋体"/>
          <w:b/>
          <w:color w:val="auto"/>
          <w:kern w:val="0"/>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0" w:name="_Toc23467"/>
      <w:bookmarkStart w:id="1" w:name="_Toc54941328"/>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E1F158E">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keepNext w:val="0"/>
        <w:keepLines w:val="0"/>
        <w:pageBreakBefore w:val="0"/>
        <w:tabs>
          <w:tab w:val="right" w:leader="dot" w:pos="9060"/>
        </w:tabs>
        <w:kinsoku/>
        <w:wordWrap/>
        <w:overflowPunct/>
        <w:topLinePunct w:val="0"/>
        <w:autoSpaceDE/>
        <w:autoSpaceDN/>
        <w:bidi w:val="0"/>
        <w:snapToGrid/>
        <w:spacing w:line="640" w:lineRule="exact"/>
        <w:jc w:val="center"/>
        <w:textAlignment w:val="auto"/>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38FCB1E">
      <w:pPr>
        <w:keepNext w:val="0"/>
        <w:keepLines w:val="0"/>
        <w:pageBreakBefore w:val="0"/>
        <w:kinsoku/>
        <w:wordWrap/>
        <w:overflowPunct/>
        <w:topLinePunct w:val="0"/>
        <w:autoSpaceDE/>
        <w:autoSpaceDN/>
        <w:bidi w:val="0"/>
        <w:snapToGrid/>
        <w:spacing w:line="640" w:lineRule="exact"/>
        <w:jc w:val="center"/>
        <w:textAlignment w:val="auto"/>
        <w:rPr>
          <w:rFonts w:hint="default"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桐城师范高等专科学校交通班车租赁服务采购项目</w:t>
      </w:r>
    </w:p>
    <w:p w14:paraId="69B8728E">
      <w:pPr>
        <w:keepNext w:val="0"/>
        <w:keepLines w:val="0"/>
        <w:pageBreakBefore w:val="0"/>
        <w:kinsoku/>
        <w:wordWrap/>
        <w:overflowPunct/>
        <w:topLinePunct w:val="0"/>
        <w:autoSpaceDE/>
        <w:autoSpaceDN/>
        <w:bidi w:val="0"/>
        <w:snapToGrid/>
        <w:spacing w:line="640" w:lineRule="exact"/>
        <w:jc w:val="center"/>
        <w:textAlignment w:val="auto"/>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竞争性谈判</w:t>
      </w:r>
      <w:r>
        <w:rPr>
          <w:rFonts w:hint="eastAsia" w:ascii="华文中宋" w:hAnsi="华文中宋" w:eastAsia="华文中宋"/>
          <w:b w:val="0"/>
          <w:bCs w:val="0"/>
          <w:color w:val="auto"/>
          <w:kern w:val="44"/>
          <w:sz w:val="32"/>
          <w:szCs w:val="32"/>
          <w:highlight w:val="none"/>
        </w:rPr>
        <w:t>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75" w:afterAutospacing="0" w:line="640" w:lineRule="exact"/>
              <w:ind w:left="0" w:right="0" w:firstLine="420"/>
              <w:jc w:val="both"/>
              <w:textAlignment w:val="auto"/>
              <w:rPr>
                <w:color w:val="333333"/>
                <w:sz w:val="27"/>
                <w:szCs w:val="27"/>
              </w:rPr>
            </w:pPr>
            <w:bookmarkStart w:id="7" w:name="OLE_LINK1"/>
            <w:bookmarkStart w:id="8" w:name="OLE_LINK7"/>
            <w:r>
              <w:rPr>
                <w:rFonts w:ascii="仿宋" w:hAnsi="仿宋" w:eastAsia="仿宋" w:cs="仿宋"/>
                <w:color w:val="333333"/>
                <w:kern w:val="0"/>
                <w:sz w:val="27"/>
                <w:szCs w:val="27"/>
                <w:lang w:val="en-US" w:eastAsia="zh-CN" w:bidi="ar"/>
              </w:rPr>
              <w:t>项目概况</w:t>
            </w:r>
          </w:p>
          <w:p w14:paraId="78714DEE">
            <w:pPr>
              <w:keepNext w:val="0"/>
              <w:keepLines w:val="0"/>
              <w:pageBreakBefore w:val="0"/>
              <w:kinsoku/>
              <w:wordWrap/>
              <w:overflowPunct/>
              <w:topLinePunct w:val="0"/>
              <w:autoSpaceDE/>
              <w:autoSpaceDN/>
              <w:bidi w:val="0"/>
              <w:snapToGrid/>
              <w:spacing w:line="640" w:lineRule="exact"/>
              <w:ind w:firstLine="540" w:firstLineChars="200"/>
              <w:textAlignment w:val="auto"/>
              <w:rPr>
                <w:color w:val="auto"/>
                <w:highlight w:val="none"/>
              </w:rPr>
            </w:pPr>
            <w:r>
              <w:rPr>
                <w:rFonts w:hint="eastAsia" w:ascii="仿宋" w:hAnsi="仿宋" w:eastAsia="仿宋" w:cs="仿宋"/>
                <w:color w:val="333333"/>
                <w:kern w:val="0"/>
                <w:sz w:val="27"/>
                <w:szCs w:val="27"/>
                <w:u w:val="single"/>
                <w:lang w:val="en-US" w:eastAsia="zh-CN" w:bidi="ar"/>
              </w:rPr>
              <w:t xml:space="preserve">桐城师范高等专科学校交通班车租赁服务采购项目 </w:t>
            </w:r>
            <w:r>
              <w:rPr>
                <w:rFonts w:hint="eastAsia" w:ascii="仿宋" w:hAnsi="仿宋" w:eastAsia="仿宋" w:cs="仿宋"/>
                <w:color w:val="333333"/>
                <w:kern w:val="0"/>
                <w:sz w:val="27"/>
                <w:szCs w:val="27"/>
                <w:lang w:val="en-US" w:eastAsia="zh-CN" w:bidi="ar"/>
              </w:rPr>
              <w:t>的潜在供应商应在桐城师范高等专科学校官网获取采购文件，并于2025年 8 月18日 9 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keepNext w:val="0"/>
        <w:keepLines w:val="0"/>
        <w:pageBreakBefore w:val="0"/>
        <w:kinsoku/>
        <w:wordWrap/>
        <w:overflowPunct/>
        <w:topLinePunct w:val="0"/>
        <w:autoSpaceDE/>
        <w:autoSpaceDN/>
        <w:bidi w:val="0"/>
        <w:snapToGrid/>
        <w:spacing w:line="640" w:lineRule="exact"/>
        <w:textAlignment w:val="auto"/>
        <w:rPr>
          <w:color w:val="auto"/>
          <w:szCs w:val="21"/>
          <w:highlight w:val="none"/>
        </w:rPr>
      </w:pPr>
    </w:p>
    <w:p w14:paraId="64B8DB27">
      <w:pPr>
        <w:keepNext w:val="0"/>
        <w:keepLines w:val="0"/>
        <w:pageBreakBefore w:val="0"/>
        <w:kinsoku/>
        <w:wordWrap/>
        <w:overflowPunct/>
        <w:topLinePunct w:val="0"/>
        <w:autoSpaceDE/>
        <w:autoSpaceDN/>
        <w:bidi w:val="0"/>
        <w:snapToGrid/>
        <w:spacing w:line="640" w:lineRule="exact"/>
        <w:textAlignment w:val="auto"/>
        <w:rPr>
          <w:rFonts w:ascii="黑体" w:hAnsi="黑体" w:eastAsia="黑体" w:cs="宋体"/>
          <w:bCs/>
          <w:color w:val="auto"/>
          <w:sz w:val="28"/>
          <w:szCs w:val="28"/>
          <w:highlight w:val="none"/>
        </w:rPr>
      </w:pPr>
      <w:bookmarkStart w:id="9" w:name="_Toc28359012"/>
      <w:bookmarkStart w:id="10" w:name="_Toc28359089"/>
      <w:bookmarkStart w:id="11" w:name="_Toc35393798"/>
      <w:bookmarkStart w:id="12" w:name="_Toc35393629"/>
      <w:r>
        <w:rPr>
          <w:rFonts w:hint="eastAsia" w:ascii="黑体" w:hAnsi="黑体" w:eastAsia="黑体" w:cs="宋体"/>
          <w:bCs/>
          <w:color w:val="auto"/>
          <w:sz w:val="28"/>
          <w:szCs w:val="28"/>
          <w:highlight w:val="none"/>
        </w:rPr>
        <w:t>一、项目基本情况</w:t>
      </w:r>
      <w:bookmarkEnd w:id="9"/>
      <w:bookmarkEnd w:id="10"/>
      <w:bookmarkEnd w:id="11"/>
      <w:bookmarkEnd w:id="12"/>
    </w:p>
    <w:p w14:paraId="0E0D5F2B">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019</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桐城师范高等专科学校交通班车租赁服务采购项目</w:t>
      </w:r>
    </w:p>
    <w:p w14:paraId="6253FAF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3" w:name="OLE_LINK2"/>
      <w:r>
        <w:rPr>
          <w:rFonts w:hint="eastAsia" w:ascii="仿宋" w:hAnsi="仿宋" w:eastAsia="仿宋"/>
          <w:color w:val="auto"/>
          <w:sz w:val="28"/>
          <w:szCs w:val="28"/>
          <w:highlight w:val="none"/>
          <w:lang w:val="en-US" w:eastAsia="zh-CN"/>
        </w:rPr>
        <w:t>250000.00元</w:t>
      </w:r>
      <w:bookmarkEnd w:id="13"/>
    </w:p>
    <w:p w14:paraId="1756907E">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250000.00元</w:t>
      </w:r>
    </w:p>
    <w:p w14:paraId="79DF3AC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桐城师范高等专科学校交通班车租赁服务采购项目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9BF8E0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合同履行期限：自合同签订之日起</w:t>
      </w:r>
      <w:r>
        <w:rPr>
          <w:rFonts w:hint="eastAsia" w:ascii="仿宋" w:hAnsi="仿宋" w:eastAsia="仿宋"/>
          <w:color w:val="auto"/>
          <w:sz w:val="28"/>
          <w:szCs w:val="28"/>
          <w:highlight w:val="none"/>
          <w:lang w:val="en-US" w:eastAsia="zh-CN"/>
        </w:rPr>
        <w:t>12</w:t>
      </w:r>
      <w:r>
        <w:rPr>
          <w:rFonts w:hint="eastAsia" w:ascii="仿宋" w:hAnsi="仿宋" w:eastAsia="仿宋"/>
          <w:color w:val="auto"/>
          <w:sz w:val="28"/>
          <w:szCs w:val="28"/>
          <w:highlight w:val="none"/>
        </w:rPr>
        <w:t>个月（具体以租赁汽车的实际交付时间为准，合同期内，以实际租赁期限为准；如遇如车改等国家政策调整招标人随时可以解除合同且不承担任何违约责任）。</w:t>
      </w:r>
    </w:p>
    <w:p w14:paraId="0788DD7D">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bookmarkStart w:id="14" w:name="_Toc28359090"/>
      <w:bookmarkStart w:id="15" w:name="_Toc28359013"/>
      <w:bookmarkStart w:id="16" w:name="_Toc35393799"/>
      <w:bookmarkStart w:id="17" w:name="_Toc3539363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4CFB7D66">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olor w:val="auto"/>
          <w:sz w:val="28"/>
          <w:szCs w:val="28"/>
          <w:highlight w:val="none"/>
        </w:rPr>
      </w:pPr>
      <w:bookmarkStart w:id="18" w:name="_Toc35393631"/>
      <w:bookmarkStart w:id="19" w:name="_Toc28359091"/>
      <w:bookmarkStart w:id="20" w:name="_Toc35393800"/>
      <w:bookmarkStart w:id="21" w:name="_Toc28359014"/>
      <w:r>
        <w:rPr>
          <w:rFonts w:hint="eastAsia" w:ascii="仿宋" w:hAnsi="仿宋" w:eastAsia="仿宋"/>
          <w:color w:val="auto"/>
          <w:sz w:val="28"/>
          <w:szCs w:val="28"/>
          <w:highlight w:val="none"/>
        </w:rPr>
        <w:t>1.满足《中华人民共和国政府采购法》第二十二条规定；</w:t>
      </w:r>
    </w:p>
    <w:p w14:paraId="11B2DB4B">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2.落实政府采购政策需满足的资格要求：/</w:t>
      </w:r>
    </w:p>
    <w:p w14:paraId="1A0DAFF9">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3.本项目的特定资格要求：具有交通运输主管部门颁发的《道路运输经营许可证》；</w:t>
      </w:r>
    </w:p>
    <w:p w14:paraId="51A2CBF6">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15100A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18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9</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00</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分前（北京时间）</w:t>
      </w:r>
    </w:p>
    <w:p w14:paraId="31ABB51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bookmarkStart w:id="22" w:name="_Toc28359092"/>
      <w:bookmarkStart w:id="23" w:name="_Toc35393801"/>
      <w:bookmarkStart w:id="24" w:name="_Toc28359015"/>
      <w:bookmarkStart w:id="25" w:name="_Toc35393632"/>
      <w:r>
        <w:rPr>
          <w:rFonts w:hint="eastAsia" w:ascii="黑体" w:hAnsi="黑体" w:eastAsia="黑体" w:cs="宋体"/>
          <w:bCs/>
          <w:color w:val="auto"/>
          <w:sz w:val="28"/>
          <w:szCs w:val="28"/>
          <w:highlight w:val="none"/>
        </w:rPr>
        <w:t>四、响应文件提交</w:t>
      </w:r>
      <w:bookmarkEnd w:id="22"/>
      <w:bookmarkEnd w:id="23"/>
      <w:bookmarkEnd w:id="24"/>
      <w:bookmarkEnd w:id="25"/>
    </w:p>
    <w:p w14:paraId="7320C20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bookmarkStart w:id="26" w:name="_Toc28359093"/>
      <w:bookmarkStart w:id="27" w:name="_Toc35393633"/>
      <w:bookmarkStart w:id="28" w:name="_Toc35393802"/>
      <w:bookmarkStart w:id="29"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 xml:space="preserve">5 </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8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18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2FDFF555">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6F59F85">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bookmarkStart w:id="30" w:name="_Toc35393634"/>
      <w:bookmarkStart w:id="31" w:name="_Toc28359017"/>
      <w:bookmarkStart w:id="32" w:name="_Toc28359094"/>
      <w:bookmarkStart w:id="33" w:name="_Toc35393803"/>
      <w:r>
        <w:rPr>
          <w:rFonts w:hint="eastAsia" w:ascii="仿宋" w:hAnsi="仿宋" w:eastAsia="仿宋"/>
          <w:color w:val="auto"/>
          <w:sz w:val="28"/>
          <w:szCs w:val="28"/>
          <w:highlight w:val="none"/>
          <w:lang w:val="en-US" w:eastAsia="zh-CN"/>
        </w:rPr>
        <w:t>时间：2025年8 月 18日 9 时 00 分</w:t>
      </w:r>
    </w:p>
    <w:p w14:paraId="761158BF">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2E8DE909">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560" w:firstLineChars="200"/>
        <w:textAlignment w:val="auto"/>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bookmarkEnd w:id="7"/>
    <w:bookmarkEnd w:id="8"/>
    <w:p w14:paraId="57850561">
      <w:pPr>
        <w:keepNext w:val="0"/>
        <w:keepLines w:val="0"/>
        <w:pageBreakBefore w:val="0"/>
        <w:numPr>
          <w:ilvl w:val="0"/>
          <w:numId w:val="0"/>
        </w:numPr>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keepNext w:val="0"/>
        <w:keepLines w:val="0"/>
        <w:pageBreakBefore w:val="0"/>
        <w:numPr>
          <w:ilvl w:val="0"/>
          <w:numId w:val="0"/>
        </w:numPr>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keepNext w:val="0"/>
        <w:keepLines w:val="0"/>
        <w:pageBreakBefore w:val="0"/>
        <w:numPr>
          <w:ilvl w:val="0"/>
          <w:numId w:val="1"/>
        </w:numPr>
        <w:kinsoku/>
        <w:wordWrap/>
        <w:overflowPunct/>
        <w:topLinePunct w:val="0"/>
        <w:autoSpaceDE/>
        <w:autoSpaceDN/>
        <w:bidi w:val="0"/>
        <w:snapToGrid/>
        <w:spacing w:line="640" w:lineRule="exact"/>
        <w:textAlignment w:val="auto"/>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w:t>
      </w:r>
    </w:p>
    <w:p w14:paraId="0836DCBA">
      <w:pPr>
        <w:keepNext w:val="0"/>
        <w:keepLines w:val="0"/>
        <w:pageBreakBefore w:val="0"/>
        <w:kinsoku/>
        <w:wordWrap/>
        <w:overflowPunct/>
        <w:topLinePunct w:val="0"/>
        <w:autoSpaceDE/>
        <w:autoSpaceDN/>
        <w:bidi w:val="0"/>
        <w:snapToGrid/>
        <w:spacing w:line="64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联系电话：0556-6567777</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54941329"/>
      <w:bookmarkStart w:id="37" w:name="_Toc11266"/>
      <w:bookmarkStart w:id="38" w:name="_Toc26069"/>
      <w:bookmarkStart w:id="39" w:name="_Toc2521"/>
      <w:bookmarkStart w:id="40" w:name="_Toc439316872"/>
      <w:bookmarkStart w:id="41" w:name="_Toc54941331"/>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6"/>
      <w:bookmarkEnd w:id="37"/>
      <w:bookmarkEnd w:id="38"/>
    </w:p>
    <w:p w14:paraId="62BB8DF9">
      <w:pPr>
        <w:pStyle w:val="3"/>
        <w:rPr>
          <w:rFonts w:hint="eastAsia" w:eastAsia="宋体" w:cs="Tahoma"/>
          <w:bCs/>
          <w:color w:val="auto"/>
          <w:kern w:val="0"/>
          <w:sz w:val="32"/>
          <w:szCs w:val="32"/>
          <w:highlight w:val="none"/>
          <w:lang w:eastAsia="zh-CN"/>
        </w:rPr>
      </w:pPr>
      <w:bookmarkStart w:id="42" w:name="_Toc439316871"/>
      <w:bookmarkStart w:id="43" w:name="_Toc17862"/>
      <w:bookmarkStart w:id="44"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2"/>
      <w:bookmarkEnd w:id="43"/>
      <w:bookmarkEnd w:id="44"/>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4C8DA0C0">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613A6CB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1CF4FB04">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55924D92">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6A568032">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366704C7">
      <w:pPr>
        <w:rPr>
          <w:rFonts w:hint="eastAsia" w:cs="Tahoma"/>
          <w:bCs/>
          <w:color w:val="auto"/>
          <w:kern w:val="0"/>
          <w:sz w:val="32"/>
          <w:szCs w:val="32"/>
          <w:highlight w:val="none"/>
          <w:lang w:val="en-US" w:eastAsia="zh-CN"/>
        </w:rPr>
      </w:pPr>
    </w:p>
    <w:p w14:paraId="0BE0184C">
      <w:pPr>
        <w:rPr>
          <w:rFonts w:hint="eastAsia" w:cs="Tahoma"/>
          <w:bCs/>
          <w:color w:val="auto"/>
          <w:kern w:val="0"/>
          <w:sz w:val="32"/>
          <w:szCs w:val="32"/>
          <w:highlight w:val="none"/>
          <w:lang w:val="en-US" w:eastAsia="zh-CN"/>
        </w:rPr>
      </w:pPr>
    </w:p>
    <w:p w14:paraId="08ABD3A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31ED34D9">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r>
        <w:rPr>
          <w:rFonts w:hint="eastAsia" w:cs="Tahoma"/>
          <w:bCs/>
          <w:color w:val="auto"/>
          <w:kern w:val="0"/>
          <w:sz w:val="32"/>
          <w:szCs w:val="32"/>
          <w:highlight w:val="none"/>
          <w:lang w:val="en-US" w:eastAsia="zh-CN"/>
        </w:rPr>
        <w:t xml:space="preserve">                                                                                                 </w:t>
      </w:r>
    </w:p>
    <w:p w14:paraId="04F19C8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658365D1">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4617D84F">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5031C8D0">
      <w:pPr>
        <w:rPr>
          <w:rFonts w:hint="eastAsia" w:cs="Tahoma"/>
          <w:bCs/>
          <w:color w:val="auto"/>
          <w:kern w:val="0"/>
          <w:sz w:val="32"/>
          <w:szCs w:val="32"/>
          <w:highlight w:val="none"/>
          <w:lang w:val="en-US" w:eastAsia="zh-CN"/>
        </w:rPr>
      </w:pPr>
    </w:p>
    <w:p w14:paraId="20327E56">
      <w:pPr>
        <w:rPr>
          <w:rFonts w:hint="eastAsia" w:cs="Tahoma"/>
          <w:bCs/>
          <w:color w:val="auto"/>
          <w:kern w:val="0"/>
          <w:sz w:val="32"/>
          <w:szCs w:val="32"/>
          <w:highlight w:val="none"/>
          <w:lang w:val="en-US" w:eastAsia="zh-CN"/>
        </w:rPr>
      </w:pP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7325"/>
      <w:bookmarkStart w:id="46" w:name="_Toc10523"/>
      <w:bookmarkStart w:id="47" w:name="_Toc25270"/>
      <w:bookmarkStart w:id="48" w:name="_Toc439316873"/>
      <w:bookmarkStart w:id="49" w:name="_Toc15055"/>
      <w:bookmarkStart w:id="50" w:name="_Toc439316919"/>
      <w:bookmarkStart w:id="51" w:name="_Toc21078"/>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27113"/>
      <w:bookmarkStart w:id="53" w:name="_Toc8228"/>
      <w:bookmarkStart w:id="54" w:name="_Toc439316920"/>
      <w:bookmarkStart w:id="55" w:name="_Toc439316874"/>
      <w:bookmarkStart w:id="56" w:name="_Toc24643"/>
      <w:bookmarkStart w:id="57" w:name="_Toc10933"/>
      <w:bookmarkStart w:id="58" w:name="_Toc170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875"/>
      <w:bookmarkStart w:id="60"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549D6B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按实际发生数量及成交单价</w:t>
            </w:r>
            <w:r>
              <w:rPr>
                <w:rFonts w:hint="eastAsia" w:asciiTheme="minorEastAsia" w:hAnsiTheme="minorEastAsia" w:eastAsiaTheme="minorEastAsia"/>
                <w:sz w:val="24"/>
                <w:lang w:val="en-US" w:eastAsia="zh-CN"/>
              </w:rPr>
              <w:t>每月</w:t>
            </w:r>
            <w:r>
              <w:rPr>
                <w:rFonts w:hint="default" w:asciiTheme="minorEastAsia" w:hAnsiTheme="minorEastAsia" w:eastAsiaTheme="minorEastAsia"/>
                <w:sz w:val="24"/>
                <w:lang w:val="en-US" w:eastAsia="zh-CN"/>
              </w:rPr>
              <w:t>据实结算。</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桐城市</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12个月</w:t>
            </w:r>
          </w:p>
        </w:tc>
      </w:tr>
    </w:tbl>
    <w:p w14:paraId="6FA85DD2">
      <w:pPr>
        <w:ind w:firstLine="422" w:firstLineChars="200"/>
        <w:rPr>
          <w:rFonts w:ascii="宋体" w:hAnsi="宋体"/>
          <w:b/>
          <w:bCs/>
          <w:szCs w:val="21"/>
        </w:rPr>
      </w:pPr>
    </w:p>
    <w:p w14:paraId="2F149F06">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桐城师范高等专科学校交通班车租赁服务</w:t>
      </w:r>
      <w:r>
        <w:rPr>
          <w:rFonts w:hint="eastAsia" w:asciiTheme="minorEastAsia" w:hAnsiTheme="minorEastAsia" w:eastAsiaTheme="minorEastAsia"/>
          <w:sz w:val="24"/>
          <w:lang w:val="en-US" w:eastAsia="zh-CN"/>
        </w:rPr>
        <w:t>采购</w:t>
      </w:r>
      <w:r>
        <w:rPr>
          <w:rFonts w:hint="eastAsia" w:asciiTheme="minorEastAsia" w:hAnsiTheme="minorEastAsia" w:eastAsiaTheme="minorEastAsia"/>
          <w:sz w:val="24"/>
        </w:rPr>
        <w:t>项目。</w:t>
      </w:r>
    </w:p>
    <w:p w14:paraId="45AF92CD">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rPr>
        <w:t>服务需求及</w:t>
      </w:r>
      <w:r>
        <w:rPr>
          <w:rFonts w:hint="eastAsia" w:ascii="宋体" w:hAnsi="宋体" w:eastAsia="宋体" w:cs="宋体"/>
          <w:bCs/>
          <w:sz w:val="24"/>
          <w:szCs w:val="24"/>
          <w:lang w:val="en-US" w:eastAsia="zh-CN"/>
        </w:rPr>
        <w:t>技术</w:t>
      </w:r>
      <w:r>
        <w:rPr>
          <w:rFonts w:hint="eastAsia" w:ascii="宋体" w:hAnsi="宋体" w:eastAsia="宋体" w:cs="宋体"/>
          <w:bCs/>
          <w:sz w:val="24"/>
          <w:szCs w:val="24"/>
        </w:rPr>
        <w:t>要求</w:t>
      </w:r>
    </w:p>
    <w:p w14:paraId="5133480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为满足我校交通班车需求，拟租用至少50座（含50座）空调交通班车2辆以及19座（含19座）空调交通班车1辆，要求提供服务的车辆购买时间为2018年01月01日（含）以后购买的（以机动车登记证上时间为准）。</w:t>
      </w:r>
    </w:p>
    <w:p w14:paraId="72C2B6E4">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lang w:eastAsia="zh-CN"/>
        </w:rPr>
      </w:pPr>
      <w:bookmarkStart w:id="70" w:name="bookmark293"/>
      <w:bookmarkEnd w:id="70"/>
      <w:bookmarkStart w:id="71" w:name="bookmark291"/>
      <w:bookmarkEnd w:id="71"/>
      <w:r>
        <w:rPr>
          <w:rFonts w:hint="eastAsia" w:ascii="宋体" w:hAnsi="宋体" w:eastAsia="宋体" w:cs="宋体"/>
          <w:bCs/>
          <w:sz w:val="24"/>
          <w:szCs w:val="24"/>
        </w:rPr>
        <w:t>车辆要求</w:t>
      </w:r>
      <w:r>
        <w:rPr>
          <w:rFonts w:hint="eastAsia" w:ascii="宋体" w:hAnsi="宋体" w:eastAsia="宋体" w:cs="宋体"/>
          <w:bCs/>
          <w:sz w:val="24"/>
          <w:szCs w:val="24"/>
          <w:lang w:eastAsia="zh-CN"/>
        </w:rPr>
        <w:t>及相关要求</w:t>
      </w:r>
    </w:p>
    <w:p w14:paraId="5F453AF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（一）车辆要求</w:t>
      </w:r>
    </w:p>
    <w:p w14:paraId="0052C7A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招标人租用中标人50座（含50座）空调交通班车2辆以及19座（含19座）空调交通班车1辆，用于交通班车；所租车辆应符合市内包车的安全、卫生和准运要求，车辆具有营运资质，所租车型应为空调客车,各种手续合法完整，车辆性能好，设备齐全，安全可靠，舒适卫生。为防止车主随意变更车牌，合同中应注明车架号。中标人接到招标人用车需求后，应于当天立即反馈。中标人不得变更上述要求。</w:t>
      </w:r>
    </w:p>
    <w:p w14:paraId="0CD311A4">
      <w:pPr>
        <w:spacing w:line="360" w:lineRule="auto"/>
        <w:ind w:firstLine="480" w:firstLineChars="200"/>
        <w:rPr>
          <w:rFonts w:hint="eastAsia" w:cs="Times New Roman" w:asciiTheme="minorEastAsia" w:hAnsiTheme="minorEastAsia" w:eastAsiaTheme="minorEastAsia"/>
          <w:sz w:val="24"/>
          <w:lang w:val="en-US" w:eastAsia="zh-CN"/>
        </w:rPr>
      </w:pPr>
      <w:bookmarkStart w:id="72" w:name="bookmark294"/>
      <w:bookmarkEnd w:id="72"/>
      <w:r>
        <w:rPr>
          <w:rFonts w:hint="eastAsia" w:cs="Times New Roman" w:asciiTheme="minorEastAsia" w:hAnsiTheme="minorEastAsia" w:eastAsiaTheme="minorEastAsia"/>
          <w:sz w:val="24"/>
          <w:lang w:val="en-US" w:eastAsia="zh-CN"/>
        </w:rPr>
        <w:t>（二）运行路线、班次和时间</w:t>
      </w:r>
    </w:p>
    <w:p w14:paraId="6812D128">
      <w:pPr>
        <w:spacing w:line="360" w:lineRule="auto"/>
        <w:ind w:firstLine="482" w:firstLineChars="200"/>
        <w:rPr>
          <w:rFonts w:hint="eastAsia" w:ascii="仿宋" w:hAnsi="仿宋" w:eastAsia="仿宋" w:cs="仿宋"/>
          <w:b/>
          <w:bCs/>
          <w:color w:val="auto"/>
          <w:sz w:val="32"/>
          <w:szCs w:val="32"/>
          <w:lang w:eastAsia="zh-CN"/>
        </w:rPr>
      </w:pPr>
      <w:r>
        <w:rPr>
          <w:rFonts w:hint="eastAsia" w:cs="Times New Roman" w:asciiTheme="minorEastAsia" w:hAnsiTheme="minorEastAsia" w:eastAsiaTheme="minorEastAsia"/>
          <w:b/>
          <w:bCs/>
          <w:sz w:val="24"/>
          <w:lang w:val="en-US" w:eastAsia="zh-CN"/>
        </w:rPr>
        <w:t>1.运行时间：星期一至星期五</w:t>
      </w:r>
    </w:p>
    <w:p w14:paraId="1E9AD86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上、下班车辆：每天安排两辆车4个单边</w:t>
      </w:r>
    </w:p>
    <w:p w14:paraId="7522101B">
      <w:pPr>
        <w:spacing w:line="360" w:lineRule="auto"/>
        <w:ind w:firstLine="480" w:firstLineChars="200"/>
        <w:rPr>
          <w:rFonts w:hint="eastAsia" w:ascii="仿宋" w:hAnsi="仿宋" w:eastAsia="仿宋" w:cs="仿宋"/>
          <w:color w:val="auto"/>
          <w:sz w:val="32"/>
          <w:szCs w:val="32"/>
        </w:rPr>
      </w:pPr>
      <w:r>
        <w:rPr>
          <w:rFonts w:hint="eastAsia" w:cs="Times New Roman" w:asciiTheme="minorEastAsia" w:hAnsiTheme="minorEastAsia" w:eastAsiaTheme="minorEastAsia"/>
          <w:sz w:val="24"/>
          <w:lang w:val="en-US" w:eastAsia="zh-CN"/>
        </w:rPr>
        <w:t>始发站：上午7点半 终点站：8点前 始发站：上午11点半  终点站：12点前</w:t>
      </w:r>
    </w:p>
    <w:p w14:paraId="1CB45B7F">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始发站：下午2点  终点站：下午2点半前 始发站：下午5点半 终点站：下午6点前</w:t>
      </w:r>
    </w:p>
    <w:p w14:paraId="0F697326">
      <w:pPr>
        <w:spacing w:line="360" w:lineRule="auto"/>
        <w:ind w:firstLine="482" w:firstLineChars="200"/>
        <w:rPr>
          <w:rFonts w:hint="eastAsia" w:cs="Times New Roman" w:asciiTheme="minorEastAsia" w:hAnsiTheme="minorEastAsia" w:eastAsiaTheme="minorEastAsia"/>
          <w:b/>
          <w:bCs/>
          <w:sz w:val="24"/>
          <w:lang w:val="en-US" w:eastAsia="zh-CN"/>
        </w:rPr>
      </w:pPr>
      <w:r>
        <w:rPr>
          <w:rFonts w:hint="eastAsia" w:cs="Times New Roman" w:asciiTheme="minorEastAsia" w:hAnsiTheme="minorEastAsia" w:eastAsiaTheme="minorEastAsia"/>
          <w:b/>
          <w:bCs/>
          <w:sz w:val="24"/>
          <w:lang w:val="en-US" w:eastAsia="zh-CN"/>
        </w:rPr>
        <w:t>2.运行路线</w:t>
      </w:r>
    </w:p>
    <w:p w14:paraId="45690C6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线路一：桐城师专老校区一龙安广场一山水龙城公交站一仁爱医院一消防队一碧桂园一新校区</w:t>
      </w:r>
    </w:p>
    <w:p w14:paraId="13FB605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线路二：上和家园-香樟园-行政服务中心-交警大队-老车站公交站-杨桥-劳动服务公司公交站-实验中学公交站-大胜驾校-同乐家园。</w:t>
      </w:r>
    </w:p>
    <w:p w14:paraId="629F0A36">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路线三（假期临时路线）：桐城师专老校区-小广场-大广场-太阳城-国际大酒店-碧桂园</w:t>
      </w:r>
    </w:p>
    <w:p w14:paraId="2688CCDD">
      <w:pPr>
        <w:spacing w:line="360" w:lineRule="auto"/>
        <w:ind w:firstLine="482" w:firstLineChars="200"/>
        <w:rPr>
          <w:rFonts w:hint="eastAsia" w:cs="Times New Roman" w:asciiTheme="minorEastAsia" w:hAnsiTheme="minorEastAsia" w:eastAsiaTheme="minorEastAsia"/>
          <w:b/>
          <w:bCs/>
          <w:sz w:val="24"/>
          <w:lang w:val="en-US" w:eastAsia="zh-CN"/>
        </w:rPr>
      </w:pPr>
      <w:bookmarkStart w:id="73" w:name="bookmark295"/>
      <w:bookmarkEnd w:id="73"/>
      <w:r>
        <w:rPr>
          <w:rFonts w:hint="eastAsia" w:cs="Times New Roman" w:asciiTheme="minorEastAsia" w:hAnsiTheme="minorEastAsia" w:eastAsiaTheme="minorEastAsia"/>
          <w:b/>
          <w:bCs/>
          <w:sz w:val="24"/>
          <w:lang w:val="en-US" w:eastAsia="zh-CN"/>
        </w:rPr>
        <w:t>3.其他事项</w:t>
      </w:r>
    </w:p>
    <w:p w14:paraId="25E0C2E3">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（1）中标后依照明细报价表中所提单价为依据，进行结算。</w:t>
      </w:r>
    </w:p>
    <w:p w14:paraId="23B630D2">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（2）所投车辆所有权属于投标人。</w:t>
      </w:r>
    </w:p>
    <w:p w14:paraId="044116D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3）中标人应随车为出租车辆配备符合法律规定，具有相应驾驶资格的从业人员，驾驶员要求男性年龄在55周岁以内，女性年龄在50周岁以内，具备A1驾驶证，资格证件齐全，该驾驶员为中标人员工或由中标人雇佣，并承担驾驶人员的劳动（劳务）法律责任和义务。驾驶员必须定期体检，中标后提供人员社保与联系方式、服务期内提供驾驶员定期体检报告交由学校备案，</w:t>
      </w:r>
    </w:p>
    <w:p w14:paraId="72E56DE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（4）中标人应严格执行招标人制定的班车车次和时间，提供安全、准时、优质、高效的客运服务。</w:t>
      </w:r>
    </w:p>
    <w:p w14:paraId="0539C1DC">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（5）中标人应指定专人负责所租车辆的调度、指挥和协调工作，并制定完善的应急预案，确保招标人用车需要。</w:t>
      </w:r>
    </w:p>
    <w:p w14:paraId="2FE9183F">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（6）中标人应确保所租车辆符合</w:t>
      </w:r>
      <w:r>
        <w:rPr>
          <w:rFonts w:hint="eastAsia" w:cs="Times New Roman" w:asciiTheme="minorEastAsia" w:hAnsiTheme="minorEastAsia" w:eastAsiaTheme="minorEastAsia"/>
          <w:sz w:val="24"/>
          <w:lang w:val="zh-CN" w:eastAsia="zh-CN"/>
        </w:rPr>
        <w:t>“车辆</w:t>
      </w:r>
      <w:r>
        <w:rPr>
          <w:rFonts w:hint="eastAsia" w:cs="Times New Roman" w:asciiTheme="minorEastAsia" w:hAnsiTheme="minorEastAsia" w:eastAsiaTheme="minorEastAsia"/>
          <w:sz w:val="24"/>
          <w:lang w:val="en-US" w:eastAsia="zh-CN"/>
        </w:rPr>
        <w:t>要求"的约定，所配驾驶人员技术娴熟、经验丰富、服务规范。</w:t>
      </w:r>
    </w:p>
    <w:p w14:paraId="4F7D9375">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（7）中标人应保证所租车辆干净整洁，定期对坐垫、靠背等设施清洗、消毒，车辆运行途中应 保持车内的换气通风。夏季保证冷气开放，冬季保证暖气开放。车辆必须具有定期检修的记录。</w:t>
      </w:r>
    </w:p>
    <w:p w14:paraId="2F930467">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（8）中标人为所租车辆投保交强险。投运前须将车辆驶车证及保单复印件提供给招标人，否则， 招标人有权无条件单方终止协议。</w:t>
      </w:r>
    </w:p>
    <w:p w14:paraId="059EBA01">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（9）中标人应确保安全行车并将乘车规定明示于车厢内，所租车辆发生的任何事故导致车辆和 第三方损失的均与招标人无关，由中标人自行处理。如在上下车和行驶中造成招标人职工人身和财 产损失的，中标人应依照国家相关法律法规承担一切经济损失、赔偿费用和责任。</w:t>
      </w:r>
    </w:p>
    <w:p w14:paraId="5E46188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（10）中标人车辆和人员进入招标人单位应服从招标人指挥，遵守招标人规章制度。</w:t>
      </w:r>
    </w:p>
    <w:p w14:paraId="6464920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11）中标人车辆因晚点、抛锚、事故、可预见的交通管制以及其他非自然灾害因素不能在规定的时间范围内到达规定站点时，中标人应及时通知招标人并迅速调配不低于同档次车辆要求的车辆顶替以保证招标人职工正常上下班。高温、高寒、内涝、浓雾等恶劣环境下需预留充足发车时间，避免因车轮爆裂、油料防冻失效或结冰防滑减速、路淹改道及能见度剧降等情况而造成工作延误。如15分钟后仍无车到达，经中标人确认后，招标人职工可合乘出租车或以其他方式上下班或转乘，费用由中标人承担，在租赁费中予以扣除。</w:t>
      </w:r>
    </w:p>
    <w:p w14:paraId="3AD447DE">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12）中标人车辆因年检、维修等停驶时，中标人应安排不低于同档次车辆要求的车辆顶替，并及时向招标人提供车牌及外观，以防招标人职工漏乘，并保证乘坐人员均有座位。不得在未告知招标人或招标人未允许的前提下私自更换服务车辆。</w:t>
      </w:r>
    </w:p>
    <w:p w14:paraId="7E0ED902">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（13）中标人车辆应提前5分钟到达始发站。中标人应加强对驾驶员安全行车的教育及班车运行 秩序的管理，严格按双方确定的路线、时间、站点运行，不得私自提前发车、迟到、串线、溜站、 甩客。对招标人的投诉，中标人应及时处理和整改。</w:t>
      </w:r>
    </w:p>
    <w:p w14:paraId="3B7E7C7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（14）中标人驾驶员有权监督和规范招标人职工的乘车行为，对违反乘车规定的职工，有权制止, 并向招标人管理人员反映，对招标人职工提出的不符合乘车规定和行车安全的要求，中标人驾驶员有权制止和拒载。</w:t>
      </w:r>
    </w:p>
    <w:p w14:paraId="6F99BFB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（15）中标人必须根据招标人需求釆取定车定人、专项服务方式实行日常承运服务，在接到招标 人有关班车调度、服务质量的投诉后15分钟内给予明确答复，对于重大投诉应及时给出书面改正意见或致歉书。若对招标人投诉未及时正确处理和解决达两次以上招标人有权做出相应处理，重者解除合同。</w:t>
      </w:r>
    </w:p>
    <w:p w14:paraId="0BC2C30E">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（16）对于因车况（空调、安全性等）原因连续投</w:t>
      </w:r>
      <w:r>
        <w:rPr>
          <w:rFonts w:hint="eastAsia" w:cs="Times New Roman" w:asciiTheme="minorEastAsia" w:hAnsiTheme="minorEastAsia" w:eastAsiaTheme="minorEastAsia"/>
          <w:sz w:val="24"/>
          <w:lang w:val="zh-CN" w:eastAsia="zh-CN"/>
        </w:rPr>
        <w:t>诉同一</w:t>
      </w:r>
      <w:r>
        <w:rPr>
          <w:rFonts w:hint="eastAsia" w:cs="Times New Roman" w:asciiTheme="minorEastAsia" w:hAnsiTheme="minorEastAsia" w:eastAsiaTheme="minorEastAsia"/>
          <w:sz w:val="24"/>
          <w:lang w:val="en-US" w:eastAsia="zh-CN"/>
        </w:rPr>
        <w:t>车辆两次的，中标人应更换车辆。中标人驾驶员本着服务的宗旨，禁止与招标人员工争吵、打架，如发生前述情形，招标人有权解除本合同，同一驾驶员一个月内被招标人员工投诉两次或三位员工同时投诉的中标人应更换司机，如被投 诉车辆得不到明显改善或车况达不到合同承诺的标准以及不更换招标人不认可的驾驶员，招标人有权扣除中标人5000元以内的车费并有权与中标人解除合同。</w:t>
      </w:r>
    </w:p>
    <w:p w14:paraId="403778EF">
      <w:pPr>
        <w:spacing w:line="360" w:lineRule="auto"/>
        <w:ind w:firstLine="482" w:firstLineChars="200"/>
        <w:rPr>
          <w:rFonts w:hint="eastAsia" w:cs="Times New Roman" w:asciiTheme="minorEastAsia" w:hAnsiTheme="minorEastAsia" w:eastAsiaTheme="minorEastAsia"/>
          <w:b/>
          <w:bCs/>
          <w:sz w:val="24"/>
          <w:lang w:val="en-US" w:eastAsia="zh-CN"/>
        </w:rPr>
      </w:pPr>
      <w:bookmarkStart w:id="74" w:name="bookmark296"/>
      <w:bookmarkEnd w:id="74"/>
      <w:r>
        <w:rPr>
          <w:rFonts w:hint="eastAsia" w:cs="Times New Roman" w:asciiTheme="minorEastAsia" w:hAnsiTheme="minorEastAsia" w:eastAsiaTheme="minorEastAsia"/>
          <w:b/>
          <w:bCs/>
          <w:sz w:val="24"/>
          <w:lang w:val="en-US" w:eastAsia="zh-CN"/>
        </w:rPr>
        <w:t>4.客车报价要求</w:t>
      </w:r>
    </w:p>
    <w:p w14:paraId="083B62CE">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报价应包含合同期内所有驾驶员工资薪酬、社会保险费用等人工费、材料费、机械费、管理费、 日常保养费、维修费、年审费、保险、相关税金、措施费、利润、服务期限内的风险费用等所有费用由中标供应商承担，不另收超程、超时费等完成本次招标范围内工作所发生的全部费用。后续不得再以任何理由追加报价。投标人需列明单边报价，若实际服务过程中有增加单边，则根据单边报价进行结算。周日根据招标人实际需要运行。</w:t>
      </w:r>
    </w:p>
    <w:p w14:paraId="0605CEE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u w:val="single"/>
          <w:lang w:val="en-US" w:eastAsia="zh-CN"/>
        </w:rPr>
        <w:t>中标人必须具备道路运输经营资质，车辆具备营运资质、保险手续完备，且提供两名驾驶员具备有效期内的道路运输从业资格证件和A1驾驶证</w:t>
      </w:r>
      <w:r>
        <w:rPr>
          <w:rFonts w:hint="eastAsia" w:cs="Times New Roman" w:asciiTheme="minorEastAsia" w:hAnsiTheme="minorEastAsia" w:eastAsiaTheme="minorEastAsia"/>
          <w:sz w:val="24"/>
          <w:lang w:val="en-US" w:eastAsia="zh-CN"/>
        </w:rPr>
        <w:t>。</w:t>
      </w:r>
    </w:p>
    <w:p w14:paraId="47D42B1A">
      <w:pPr>
        <w:spacing w:line="360" w:lineRule="auto"/>
        <w:ind w:firstLine="482" w:firstLineChars="200"/>
        <w:rPr>
          <w:rFonts w:hint="eastAsia" w:cs="Times New Roman" w:asciiTheme="minorEastAsia" w:hAnsiTheme="minorEastAsia" w:eastAsiaTheme="minorEastAsia"/>
          <w:b/>
          <w:bCs/>
          <w:sz w:val="24"/>
          <w:lang w:val="en-US" w:eastAsia="zh-CN"/>
        </w:rPr>
      </w:pPr>
      <w:bookmarkStart w:id="75" w:name="bookmark297"/>
      <w:bookmarkEnd w:id="75"/>
      <w:r>
        <w:rPr>
          <w:rFonts w:hint="eastAsia" w:cs="Times New Roman" w:asciiTheme="minorEastAsia" w:hAnsiTheme="minorEastAsia" w:eastAsiaTheme="minorEastAsia"/>
          <w:b/>
          <w:bCs/>
          <w:sz w:val="24"/>
          <w:lang w:val="en-US" w:eastAsia="zh-CN"/>
        </w:rPr>
        <w:t>5.租车期限</w:t>
      </w:r>
    </w:p>
    <w:p w14:paraId="4056E49E">
      <w:pPr>
        <w:spacing w:line="360" w:lineRule="auto"/>
        <w:ind w:firstLine="480" w:firstLineChars="200"/>
        <w:rPr>
          <w:rFonts w:hint="eastAsia" w:ascii="仿宋" w:hAnsi="仿宋" w:eastAsia="仿宋" w:cs="仿宋"/>
          <w:color w:val="auto"/>
          <w:sz w:val="32"/>
          <w:szCs w:val="32"/>
        </w:rPr>
      </w:pPr>
      <w:r>
        <w:rPr>
          <w:rFonts w:hint="eastAsia" w:cs="Times New Roman" w:asciiTheme="minorEastAsia" w:hAnsiTheme="minorEastAsia" w:eastAsiaTheme="minorEastAsia"/>
          <w:sz w:val="24"/>
          <w:lang w:val="en-US" w:eastAsia="zh-CN"/>
        </w:rPr>
        <w:t>自合同签订之日起12个月（具体以租赁汽车的实际交付时间为准，合同期内，以实际租赁期限为准；如遇如车改等国家政策调整招标人随时可以解除合同且不承担任何违约责任）。</w:t>
      </w:r>
    </w:p>
    <w:p w14:paraId="724A5161">
      <w:pPr>
        <w:jc w:val="left"/>
        <w:rPr>
          <w:rFonts w:hint="eastAsia" w:ascii="Times New Roman" w:hAnsi="Times New Roman" w:eastAsia="宋体" w:cs="Times New Roman"/>
          <w:b/>
          <w:bCs/>
          <w:sz w:val="28"/>
          <w:szCs w:val="28"/>
          <w:lang w:val="en-US" w:eastAsia="zh-CN"/>
        </w:rPr>
      </w:pPr>
      <w:r>
        <w:rPr>
          <w:rFonts w:hint="eastAsia" w:ascii="仿宋" w:hAnsi="仿宋" w:eastAsia="仿宋" w:cs="仿宋"/>
          <w:color w:val="auto"/>
          <w:sz w:val="32"/>
          <w:szCs w:val="32"/>
        </w:rPr>
        <w:br w:type="page"/>
      </w: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A12204F">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35054D2A">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3224582E">
      <w:pPr>
        <w:numPr>
          <w:ilvl w:val="0"/>
          <w:numId w:val="4"/>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96C9DA4">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590"/>
        <w:gridCol w:w="2550"/>
        <w:gridCol w:w="4478"/>
      </w:tblGrid>
      <w:tr w14:paraId="57E6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6" w:type="dxa"/>
            <w:gridSpan w:val="4"/>
            <w:tcBorders>
              <w:bottom w:val="single" w:color="auto" w:sz="4" w:space="0"/>
            </w:tcBorders>
            <w:vAlign w:val="center"/>
          </w:tcPr>
          <w:p w14:paraId="206FEE80">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F0E2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tcBorders>
              <w:bottom w:val="single" w:color="auto" w:sz="4" w:space="0"/>
            </w:tcBorders>
            <w:vAlign w:val="center"/>
          </w:tcPr>
          <w:p w14:paraId="373AB34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590" w:type="dxa"/>
            <w:tcBorders>
              <w:bottom w:val="single" w:color="auto" w:sz="4" w:space="0"/>
            </w:tcBorders>
            <w:vAlign w:val="center"/>
          </w:tcPr>
          <w:p w14:paraId="66F8D809">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550" w:type="dxa"/>
            <w:tcBorders>
              <w:bottom w:val="single" w:color="auto" w:sz="4" w:space="0"/>
            </w:tcBorders>
            <w:vAlign w:val="center"/>
          </w:tcPr>
          <w:p w14:paraId="38C7D39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39A39E9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58D9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68" w:type="dxa"/>
            <w:tcBorders>
              <w:bottom w:val="single" w:color="auto" w:sz="4" w:space="0"/>
            </w:tcBorders>
            <w:vAlign w:val="center"/>
          </w:tcPr>
          <w:p w14:paraId="140C12B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90" w:type="dxa"/>
            <w:tcBorders>
              <w:bottom w:val="single" w:color="auto" w:sz="4" w:space="0"/>
            </w:tcBorders>
            <w:vAlign w:val="center"/>
          </w:tcPr>
          <w:p w14:paraId="7D32724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550" w:type="dxa"/>
            <w:tcBorders>
              <w:bottom w:val="single" w:color="auto" w:sz="4" w:space="0"/>
            </w:tcBorders>
            <w:vAlign w:val="center"/>
          </w:tcPr>
          <w:p w14:paraId="6CB95F0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1BA0AB5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F07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668" w:type="dxa"/>
            <w:tcBorders>
              <w:bottom w:val="single" w:color="auto" w:sz="4" w:space="0"/>
            </w:tcBorders>
            <w:vAlign w:val="center"/>
          </w:tcPr>
          <w:p w14:paraId="2C21D8D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90" w:type="dxa"/>
            <w:tcBorders>
              <w:bottom w:val="single" w:color="auto" w:sz="4" w:space="0"/>
            </w:tcBorders>
            <w:vAlign w:val="center"/>
          </w:tcPr>
          <w:p w14:paraId="317617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550" w:type="dxa"/>
            <w:tcBorders>
              <w:bottom w:val="single" w:color="auto" w:sz="4" w:space="0"/>
            </w:tcBorders>
            <w:vAlign w:val="center"/>
          </w:tcPr>
          <w:p w14:paraId="1BE3CC20">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56EB9FF3">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CBE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tcBorders>
              <w:bottom w:val="single" w:color="auto" w:sz="4" w:space="0"/>
            </w:tcBorders>
            <w:vAlign w:val="center"/>
          </w:tcPr>
          <w:p w14:paraId="23E7A57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590" w:type="dxa"/>
            <w:tcBorders>
              <w:bottom w:val="single" w:color="auto" w:sz="4" w:space="0"/>
            </w:tcBorders>
            <w:vAlign w:val="center"/>
          </w:tcPr>
          <w:p w14:paraId="0038B21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3C7BE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550" w:type="dxa"/>
            <w:tcBorders>
              <w:bottom w:val="single" w:color="auto" w:sz="4" w:space="0"/>
            </w:tcBorders>
            <w:vAlign w:val="center"/>
          </w:tcPr>
          <w:p w14:paraId="0A882A6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0A7F9177">
            <w:pPr>
              <w:spacing w:line="360" w:lineRule="auto"/>
              <w:jc w:val="center"/>
              <w:rPr>
                <w:rFonts w:hint="eastAsia"/>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32C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tcBorders>
              <w:bottom w:val="single" w:color="auto" w:sz="4" w:space="0"/>
            </w:tcBorders>
            <w:vAlign w:val="center"/>
          </w:tcPr>
          <w:p w14:paraId="0A6898F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590" w:type="dxa"/>
            <w:tcBorders>
              <w:bottom w:val="single" w:color="auto" w:sz="4" w:space="0"/>
            </w:tcBorders>
            <w:vAlign w:val="center"/>
          </w:tcPr>
          <w:p w14:paraId="6D8A10E7">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550" w:type="dxa"/>
            <w:tcBorders>
              <w:bottom w:val="single" w:color="auto" w:sz="4" w:space="0"/>
            </w:tcBorders>
            <w:vAlign w:val="center"/>
          </w:tcPr>
          <w:p w14:paraId="28A6140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规定并加盖响应人公章</w:t>
            </w:r>
          </w:p>
        </w:tc>
        <w:tc>
          <w:tcPr>
            <w:tcW w:w="4478" w:type="dxa"/>
            <w:tcBorders>
              <w:bottom w:val="single" w:color="auto" w:sz="4" w:space="0"/>
            </w:tcBorders>
            <w:vAlign w:val="center"/>
          </w:tcPr>
          <w:p w14:paraId="7919367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4DF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tcBorders>
              <w:bottom w:val="single" w:color="auto" w:sz="4" w:space="0"/>
            </w:tcBorders>
            <w:vAlign w:val="center"/>
          </w:tcPr>
          <w:p w14:paraId="1EC443D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590" w:type="dxa"/>
            <w:tcBorders>
              <w:bottom w:val="single" w:color="auto" w:sz="4" w:space="0"/>
            </w:tcBorders>
            <w:vAlign w:val="center"/>
          </w:tcPr>
          <w:p w14:paraId="6B9D320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550" w:type="dxa"/>
            <w:tcBorders>
              <w:bottom w:val="single" w:color="auto" w:sz="4" w:space="0"/>
            </w:tcBorders>
            <w:vAlign w:val="center"/>
          </w:tcPr>
          <w:p w14:paraId="69559C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5B74318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151738A0">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712D9F1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F4B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7EC49C3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590" w:type="dxa"/>
            <w:vAlign w:val="center"/>
          </w:tcPr>
          <w:p w14:paraId="4B8AA500">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550" w:type="dxa"/>
            <w:vAlign w:val="center"/>
          </w:tcPr>
          <w:p w14:paraId="1BF8DD92">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3BBCD02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20F4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40987D7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590" w:type="dxa"/>
            <w:vAlign w:val="center"/>
          </w:tcPr>
          <w:p w14:paraId="6C07E4E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550" w:type="dxa"/>
            <w:vAlign w:val="center"/>
          </w:tcPr>
          <w:p w14:paraId="0641C9F0">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09EB3B9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195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jc w:val="center"/>
        </w:trPr>
        <w:tc>
          <w:tcPr>
            <w:tcW w:w="668" w:type="dxa"/>
            <w:vAlign w:val="center"/>
          </w:tcPr>
          <w:p w14:paraId="461CA57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590" w:type="dxa"/>
            <w:vAlign w:val="center"/>
          </w:tcPr>
          <w:p w14:paraId="5D20800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550" w:type="dxa"/>
            <w:vAlign w:val="center"/>
          </w:tcPr>
          <w:p w14:paraId="473B841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5644922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6E38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68" w:type="dxa"/>
            <w:vAlign w:val="center"/>
          </w:tcPr>
          <w:p w14:paraId="14CA604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590" w:type="dxa"/>
            <w:vAlign w:val="center"/>
          </w:tcPr>
          <w:p w14:paraId="52BA8DCD">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550" w:type="dxa"/>
            <w:vAlign w:val="center"/>
          </w:tcPr>
          <w:p w14:paraId="17CF66F2">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7BF7BF35">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21C7F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668" w:type="dxa"/>
            <w:vAlign w:val="center"/>
          </w:tcPr>
          <w:p w14:paraId="0232AA4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590" w:type="dxa"/>
            <w:vAlign w:val="center"/>
          </w:tcPr>
          <w:p w14:paraId="4B5ED205">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550" w:type="dxa"/>
            <w:vAlign w:val="center"/>
          </w:tcPr>
          <w:p w14:paraId="3220132B">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448D3FF4">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464F6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46F62DA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590" w:type="dxa"/>
            <w:vAlign w:val="center"/>
          </w:tcPr>
          <w:p w14:paraId="0B7EA9B9">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550" w:type="dxa"/>
            <w:vAlign w:val="center"/>
          </w:tcPr>
          <w:p w14:paraId="7C278BFD">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2086038A">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6849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68" w:type="dxa"/>
            <w:vAlign w:val="center"/>
          </w:tcPr>
          <w:p w14:paraId="087E8939">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590" w:type="dxa"/>
            <w:vAlign w:val="center"/>
          </w:tcPr>
          <w:p w14:paraId="4D51EC6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550" w:type="dxa"/>
            <w:vAlign w:val="center"/>
          </w:tcPr>
          <w:p w14:paraId="1FF54AA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4478" w:type="dxa"/>
            <w:vAlign w:val="center"/>
          </w:tcPr>
          <w:p w14:paraId="42EC6ED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6F4A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668" w:type="dxa"/>
            <w:vAlign w:val="center"/>
          </w:tcPr>
          <w:p w14:paraId="7BC207F4">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590" w:type="dxa"/>
            <w:vAlign w:val="center"/>
          </w:tcPr>
          <w:p w14:paraId="47EF2137">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550" w:type="dxa"/>
            <w:vAlign w:val="center"/>
          </w:tcPr>
          <w:p w14:paraId="175A015F">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3455FC49">
            <w:pPr>
              <w:spacing w:after="50" w:line="360" w:lineRule="auto"/>
              <w:ind w:right="-10" w:rightChars="0"/>
              <w:jc w:val="center"/>
              <w:rPr>
                <w:rFonts w:hint="eastAsia" w:ascii="宋体" w:hAnsi="宋体" w:eastAsia="宋体" w:cs="宋体"/>
                <w:color w:val="auto"/>
                <w:sz w:val="21"/>
                <w:szCs w:val="21"/>
                <w:highlight w:val="none"/>
              </w:rPr>
            </w:pPr>
          </w:p>
        </w:tc>
      </w:tr>
      <w:tr w14:paraId="5B18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9286" w:type="dxa"/>
            <w:gridSpan w:val="4"/>
            <w:tcBorders>
              <w:bottom w:val="single" w:color="auto" w:sz="4" w:space="0"/>
            </w:tcBorders>
            <w:vAlign w:val="center"/>
          </w:tcPr>
          <w:p w14:paraId="54C2E289">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0A0741">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1BAD030D">
            <w:pPr>
              <w:pStyle w:val="4"/>
              <w:tabs>
                <w:tab w:val="left" w:pos="2730"/>
              </w:tabs>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1011E279">
      <w:pPr>
        <w:numPr>
          <w:ilvl w:val="0"/>
          <w:numId w:val="0"/>
        </w:numPr>
        <w:rPr>
          <w:rFonts w:hint="eastAsia" w:ascii="宋体" w:hAnsi="宋体" w:cs="宋体"/>
          <w:b w:val="0"/>
          <w:bCs/>
          <w:color w:val="auto"/>
          <w:szCs w:val="21"/>
          <w:highlight w:val="none"/>
          <w:lang w:val="en-US" w:eastAsia="zh-CN"/>
        </w:rPr>
      </w:pPr>
      <w:bookmarkStart w:id="76" w:name="_Toc28300"/>
      <w:bookmarkStart w:id="77" w:name="_Toc3977"/>
      <w:bookmarkStart w:id="78" w:name="_Toc7241"/>
      <w:bookmarkStart w:id="79" w:name="_Toc27586"/>
      <w:bookmarkStart w:id="80" w:name="_Toc431"/>
    </w:p>
    <w:p w14:paraId="2BC6BF2D">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ascii="宋体" w:hAnsi="宋体" w:eastAsia="宋体" w:cs="宋体"/>
          <w:b w:val="0"/>
          <w:bCs/>
          <w:color w:val="auto"/>
          <w:sz w:val="21"/>
          <w:szCs w:val="21"/>
          <w:lang w:val="en-US" w:eastAsia="zh-CN" w:bidi="ar-SA"/>
        </w:rPr>
        <w:t>2、</w:t>
      </w: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小组将按响应文件提交顺序集中与单一供应商分别进行</w:t>
      </w:r>
      <w:r>
        <w:rPr>
          <w:rFonts w:hint="eastAsia" w:ascii="宋体" w:hAnsi="宋体" w:cs="宋体"/>
          <w:b w:val="0"/>
          <w:bCs/>
          <w:color w:val="auto"/>
          <w:szCs w:val="21"/>
          <w:highlight w:val="none"/>
          <w:lang w:val="en-US" w:eastAsia="zh-CN"/>
        </w:rPr>
        <w:t>谈判 。</w:t>
      </w:r>
    </w:p>
    <w:p w14:paraId="0FF99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03766361">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bidi="ar-SA"/>
        </w:rPr>
      </w:pPr>
      <w:r>
        <w:rPr>
          <w:rFonts w:hint="eastAsia" w:ascii="宋体" w:hAnsi="宋体" w:eastAsia="宋体" w:cs="宋体"/>
          <w:b w:val="0"/>
          <w:bCs/>
          <w:color w:val="auto"/>
          <w:sz w:val="21"/>
          <w:szCs w:val="21"/>
          <w:lang w:val="en-US" w:eastAsia="zh-CN" w:bidi="ar-SA"/>
        </w:rPr>
        <w:t>3、最后报价评审，符合谈判文件供应商须知正文第 24 条要求。</w:t>
      </w:r>
    </w:p>
    <w:bookmarkEnd w:id="76"/>
    <w:bookmarkEnd w:id="77"/>
    <w:bookmarkEnd w:id="78"/>
    <w:bookmarkEnd w:id="79"/>
    <w:bookmarkEnd w:id="80"/>
    <w:p w14:paraId="1B247B58">
      <w:pPr>
        <w:pStyle w:val="2"/>
        <w:keepNext/>
        <w:keepLines/>
        <w:pageBreakBefore w:val="0"/>
        <w:widowControl w:val="0"/>
        <w:numPr>
          <w:ilvl w:val="0"/>
          <w:numId w:val="0"/>
        </w:numPr>
        <w:kinsoku/>
        <w:wordWrap/>
        <w:overflowPunct/>
        <w:topLinePunct w:val="0"/>
        <w:autoSpaceDE/>
        <w:autoSpaceDN/>
        <w:bidi w:val="0"/>
        <w:adjustRightInd w:val="0"/>
        <w:snapToGrid/>
        <w:spacing w:line="298" w:lineRule="exact"/>
        <w:jc w:val="center"/>
        <w:textAlignment w:val="auto"/>
        <w:rPr>
          <w:rFonts w:hint="eastAsia"/>
          <w:color w:val="auto"/>
          <w:highlight w:val="none"/>
          <w:lang w:val="en-US" w:eastAsia="zh-CN"/>
        </w:rPr>
      </w:pPr>
    </w:p>
    <w:p w14:paraId="467D7D72">
      <w:pPr>
        <w:pStyle w:val="2"/>
        <w:numPr>
          <w:ilvl w:val="0"/>
          <w:numId w:val="0"/>
        </w:numPr>
        <w:jc w:val="center"/>
        <w:rPr>
          <w:color w:val="auto"/>
          <w:highlight w:val="none"/>
        </w:rPr>
      </w:pPr>
      <w:r>
        <w:rPr>
          <w:rFonts w:hint="eastAsia"/>
          <w:color w:val="auto"/>
          <w:highlight w:val="none"/>
          <w:lang w:val="en-US" w:eastAsia="zh-CN"/>
        </w:rPr>
        <w:t xml:space="preserve">第五章  </w:t>
      </w:r>
      <w:r>
        <w:rPr>
          <w:rFonts w:hint="eastAsia"/>
          <w:color w:val="auto"/>
          <w:highlight w:val="none"/>
        </w:rPr>
        <w:t>政府采购合同主要条款</w:t>
      </w:r>
    </w:p>
    <w:p w14:paraId="187A6B50">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1414E0C5">
      <w:pPr>
        <w:spacing w:line="480" w:lineRule="auto"/>
        <w:jc w:val="center"/>
        <w:rPr>
          <w:rFonts w:asciiTheme="minorEastAsia" w:hAnsiTheme="minorEastAsia" w:eastAsiaTheme="minorEastAsia"/>
          <w:b/>
          <w:color w:val="auto"/>
          <w:sz w:val="24"/>
          <w:highlight w:val="none"/>
        </w:rPr>
      </w:pPr>
    </w:p>
    <w:p w14:paraId="6746F7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2EDD7928">
      <w:pPr>
        <w:spacing w:before="120" w:line="480" w:lineRule="auto"/>
        <w:ind w:left="960"/>
        <w:rPr>
          <w:rFonts w:asciiTheme="minorEastAsia" w:hAnsiTheme="minorEastAsia" w:eastAsiaTheme="minorEastAsia"/>
          <w:color w:val="auto"/>
          <w:sz w:val="24"/>
          <w:highlight w:val="none"/>
        </w:rPr>
      </w:pPr>
    </w:p>
    <w:p w14:paraId="2CC1BF27">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lang w:val="en-US" w:eastAsia="zh-CN"/>
        </w:rPr>
        <w:t xml:space="preserve">                                              </w:t>
      </w:r>
    </w:p>
    <w:p w14:paraId="7DE25A20">
      <w:pPr>
        <w:spacing w:before="120" w:line="480" w:lineRule="auto"/>
        <w:ind w:left="960"/>
        <w:rPr>
          <w:rFonts w:asciiTheme="minorEastAsia" w:hAnsiTheme="minorEastAsia" w:eastAsiaTheme="minorEastAsia"/>
          <w:color w:val="auto"/>
          <w:sz w:val="24"/>
          <w:highlight w:val="none"/>
        </w:rPr>
      </w:pPr>
    </w:p>
    <w:p w14:paraId="6B3831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乙方（成交人）：</w:t>
      </w:r>
      <w:r>
        <w:rPr>
          <w:rFonts w:hint="eastAsia" w:asciiTheme="minorEastAsia" w:hAnsiTheme="minorEastAsia" w:eastAsiaTheme="minorEastAsia"/>
          <w:color w:val="auto"/>
          <w:sz w:val="24"/>
          <w:highlight w:val="none"/>
          <w:u w:val="single"/>
          <w:lang w:val="en-US" w:eastAsia="zh-CN"/>
        </w:rPr>
        <w:t xml:space="preserve">                                              </w:t>
      </w:r>
    </w:p>
    <w:p w14:paraId="1ADAA1E4">
      <w:pPr>
        <w:spacing w:before="120" w:line="480" w:lineRule="auto"/>
        <w:ind w:firstLine="960" w:firstLineChars="400"/>
        <w:rPr>
          <w:rFonts w:asciiTheme="minorEastAsia" w:hAnsiTheme="minorEastAsia" w:eastAsiaTheme="minorEastAsia"/>
          <w:color w:val="auto"/>
          <w:sz w:val="24"/>
          <w:highlight w:val="none"/>
        </w:rPr>
      </w:pPr>
    </w:p>
    <w:p w14:paraId="4FB3A5A3">
      <w:pPr>
        <w:spacing w:before="120" w:line="480" w:lineRule="auto"/>
        <w:ind w:firstLine="960" w:firstLineChars="400"/>
        <w:rPr>
          <w:rFonts w:asciiTheme="minorEastAsia" w:hAnsiTheme="minorEastAsia" w:eastAsiaTheme="minorEastAsia"/>
          <w:color w:val="auto"/>
          <w:sz w:val="24"/>
          <w:highlight w:val="none"/>
        </w:rPr>
      </w:pPr>
    </w:p>
    <w:p w14:paraId="2B704018">
      <w:pPr>
        <w:spacing w:before="120" w:line="480" w:lineRule="auto"/>
        <w:ind w:firstLine="960" w:firstLineChars="400"/>
        <w:rPr>
          <w:rFonts w:asciiTheme="minorEastAsia" w:hAnsiTheme="minorEastAsia" w:eastAsiaTheme="minorEastAsia"/>
          <w:color w:val="auto"/>
          <w:sz w:val="24"/>
          <w:highlight w:val="none"/>
        </w:rPr>
      </w:pPr>
    </w:p>
    <w:p w14:paraId="53D1D486">
      <w:pPr>
        <w:spacing w:before="120" w:line="480" w:lineRule="auto"/>
        <w:rPr>
          <w:rFonts w:asciiTheme="minorEastAsia" w:hAnsiTheme="minorEastAsia" w:eastAsiaTheme="minorEastAsia"/>
          <w:color w:val="auto"/>
          <w:sz w:val="24"/>
          <w:highlight w:val="none"/>
        </w:rPr>
      </w:pPr>
    </w:p>
    <w:p w14:paraId="43922760">
      <w:pPr>
        <w:spacing w:before="120" w:line="480" w:lineRule="auto"/>
        <w:ind w:firstLine="960" w:firstLineChars="400"/>
        <w:rPr>
          <w:rFonts w:asciiTheme="minorEastAsia" w:hAnsiTheme="minorEastAsia" w:eastAsiaTheme="minorEastAsia"/>
          <w:color w:val="auto"/>
          <w:sz w:val="24"/>
          <w:highlight w:val="none"/>
        </w:rPr>
      </w:pPr>
    </w:p>
    <w:p w14:paraId="6A6B8D6C">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7756818">
      <w:pPr>
        <w:spacing w:before="120" w:line="480" w:lineRule="auto"/>
        <w:ind w:firstLine="960" w:firstLineChars="400"/>
        <w:rPr>
          <w:rFonts w:asciiTheme="minorEastAsia" w:hAnsiTheme="minorEastAsia" w:eastAsiaTheme="minorEastAsia"/>
          <w:color w:val="auto"/>
          <w:sz w:val="24"/>
          <w:highlight w:val="none"/>
        </w:rPr>
      </w:pPr>
    </w:p>
    <w:p w14:paraId="2C95AB9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1CC2E34">
      <w:pPr>
        <w:pStyle w:val="47"/>
        <w:rPr>
          <w:color w:val="auto"/>
          <w:highlight w:val="none"/>
        </w:rPr>
      </w:pPr>
    </w:p>
    <w:p w14:paraId="257ADD41">
      <w:pPr>
        <w:spacing w:line="360" w:lineRule="auto"/>
        <w:ind w:firstLine="435"/>
        <w:rPr>
          <w:rFonts w:hint="eastAsia" w:asciiTheme="minorEastAsia" w:hAnsiTheme="minorEastAsia" w:eastAsiaTheme="minorEastAsia"/>
          <w:color w:val="auto"/>
          <w:sz w:val="24"/>
          <w:highlight w:val="none"/>
        </w:rPr>
      </w:pPr>
    </w:p>
    <w:p w14:paraId="3E3E754C">
      <w:pPr>
        <w:pStyle w:val="47"/>
        <w:rPr>
          <w:rFonts w:hint="eastAsia"/>
        </w:rPr>
      </w:pPr>
    </w:p>
    <w:p w14:paraId="196DA983">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02D33C2">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2232"/>
      <w:bookmarkStart w:id="83"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3E24D0F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67BE81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D428A2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32C2DEB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7F8BED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5DB274A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429A2458">
      <w:pPr>
        <w:spacing w:line="360" w:lineRule="auto"/>
        <w:ind w:firstLine="437"/>
        <w:outlineLvl w:val="3"/>
        <w:rPr>
          <w:rFonts w:hint="eastAsia" w:asciiTheme="minorEastAsia" w:hAnsiTheme="minorEastAsia" w:eastAsiaTheme="minorEastAsia"/>
          <w:b/>
          <w:bCs/>
          <w:color w:val="auto"/>
          <w:sz w:val="24"/>
          <w:highlight w:val="none"/>
          <w:lang w:val="zh-CN"/>
        </w:rPr>
      </w:pPr>
      <w:bookmarkStart w:id="84" w:name="_Toc27126"/>
      <w:bookmarkStart w:id="85" w:name="_Toc24300"/>
      <w:bookmarkStart w:id="86"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4"/>
      <w:bookmarkEnd w:id="85"/>
      <w:bookmarkEnd w:id="86"/>
      <w:r>
        <w:rPr>
          <w:rFonts w:hint="eastAsia" w:asciiTheme="minorEastAsia" w:hAnsiTheme="minorEastAsia" w:eastAsiaTheme="minorEastAsia"/>
          <w:b/>
          <w:bCs/>
          <w:color w:val="auto"/>
          <w:sz w:val="24"/>
          <w:highlight w:val="none"/>
          <w:lang w:val="zh-CN"/>
        </w:rPr>
        <w:t>服务</w:t>
      </w:r>
    </w:p>
    <w:p w14:paraId="17A849A8">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556C9B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C6225D9">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BD6C5C">
      <w:pPr>
        <w:spacing w:line="360" w:lineRule="auto"/>
        <w:ind w:firstLine="437"/>
        <w:outlineLvl w:val="3"/>
        <w:rPr>
          <w:rFonts w:asciiTheme="minorEastAsia" w:hAnsiTheme="minorEastAsia" w:eastAsiaTheme="minorEastAsia"/>
          <w:b/>
          <w:bCs/>
          <w:color w:val="auto"/>
          <w:sz w:val="24"/>
          <w:highlight w:val="none"/>
          <w:lang w:val="zh-CN"/>
        </w:rPr>
      </w:pPr>
      <w:bookmarkStart w:id="87" w:name="_Toc23292"/>
      <w:bookmarkStart w:id="88" w:name="_Toc21551"/>
      <w:bookmarkStart w:id="89"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23D4806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0BCEBF">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D4F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0A72462F">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1CB46BF3">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596AF852">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1CBB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4556BD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7145C65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0AA94CD">
            <w:pPr>
              <w:ind w:firstLine="200"/>
              <w:jc w:val="center"/>
              <w:rPr>
                <w:rFonts w:asciiTheme="minorEastAsia" w:hAnsiTheme="minorEastAsia" w:eastAsiaTheme="minorEastAsia"/>
                <w:color w:val="auto"/>
                <w:sz w:val="24"/>
                <w:highlight w:val="none"/>
              </w:rPr>
            </w:pPr>
          </w:p>
        </w:tc>
      </w:tr>
      <w:tr w14:paraId="71FA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571ED4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2C0DB5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BDC7879">
            <w:pPr>
              <w:ind w:firstLine="200"/>
              <w:jc w:val="center"/>
              <w:rPr>
                <w:rFonts w:asciiTheme="minorEastAsia" w:hAnsiTheme="minorEastAsia" w:eastAsiaTheme="minorEastAsia"/>
                <w:color w:val="auto"/>
                <w:sz w:val="24"/>
                <w:highlight w:val="none"/>
              </w:rPr>
            </w:pPr>
          </w:p>
        </w:tc>
      </w:tr>
      <w:tr w14:paraId="7E75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8BEE533">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37C4931B">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1D89676">
            <w:pPr>
              <w:ind w:firstLine="200"/>
              <w:jc w:val="center"/>
              <w:rPr>
                <w:rFonts w:asciiTheme="minorEastAsia" w:hAnsiTheme="minorEastAsia" w:eastAsiaTheme="minorEastAsia"/>
                <w:color w:val="auto"/>
                <w:sz w:val="24"/>
                <w:highlight w:val="none"/>
              </w:rPr>
            </w:pPr>
          </w:p>
        </w:tc>
      </w:tr>
      <w:tr w14:paraId="1084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3BE05F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4B8B7AC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974B566">
            <w:pPr>
              <w:ind w:firstLine="200"/>
              <w:jc w:val="center"/>
              <w:rPr>
                <w:rFonts w:asciiTheme="minorEastAsia" w:hAnsiTheme="minorEastAsia" w:eastAsiaTheme="minorEastAsia"/>
                <w:color w:val="auto"/>
                <w:sz w:val="24"/>
                <w:highlight w:val="none"/>
              </w:rPr>
            </w:pPr>
          </w:p>
        </w:tc>
      </w:tr>
      <w:tr w14:paraId="3499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3AC926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2A06012">
            <w:pPr>
              <w:ind w:firstLine="200"/>
              <w:jc w:val="center"/>
              <w:rPr>
                <w:rFonts w:asciiTheme="minorEastAsia" w:hAnsiTheme="minorEastAsia" w:eastAsiaTheme="minorEastAsia"/>
                <w:color w:val="auto"/>
                <w:sz w:val="24"/>
                <w:highlight w:val="none"/>
              </w:rPr>
            </w:pPr>
          </w:p>
        </w:tc>
      </w:tr>
    </w:tbl>
    <w:p w14:paraId="250B0B1C">
      <w:pPr>
        <w:spacing w:line="360" w:lineRule="auto"/>
        <w:ind w:firstLine="437"/>
        <w:outlineLvl w:val="3"/>
        <w:rPr>
          <w:rFonts w:asciiTheme="minorEastAsia" w:hAnsiTheme="minorEastAsia" w:eastAsiaTheme="minorEastAsia"/>
          <w:b/>
          <w:bCs/>
          <w:color w:val="auto"/>
          <w:sz w:val="24"/>
          <w:highlight w:val="none"/>
          <w:lang w:val="zh-CN"/>
        </w:rPr>
      </w:pPr>
      <w:bookmarkStart w:id="90" w:name="_Toc22618"/>
      <w:bookmarkStart w:id="91" w:name="_Toc10340"/>
      <w:bookmarkStart w:id="92"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046981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C543C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A712EB6">
      <w:pPr>
        <w:spacing w:line="360" w:lineRule="auto"/>
        <w:ind w:firstLine="437"/>
        <w:outlineLvl w:val="3"/>
        <w:rPr>
          <w:rFonts w:asciiTheme="minorEastAsia" w:hAnsiTheme="minorEastAsia" w:eastAsiaTheme="minorEastAsia"/>
          <w:b/>
          <w:bCs/>
          <w:color w:val="auto"/>
          <w:sz w:val="24"/>
          <w:highlight w:val="none"/>
          <w:lang w:val="zh-CN"/>
        </w:rPr>
      </w:pPr>
      <w:bookmarkStart w:id="93" w:name="_Toc32071"/>
      <w:bookmarkStart w:id="94" w:name="_Toc2846"/>
      <w:bookmarkStart w:id="95"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52D3347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9EA33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891E5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BE8045">
      <w:pPr>
        <w:spacing w:line="360" w:lineRule="auto"/>
        <w:ind w:firstLine="437"/>
        <w:outlineLvl w:val="3"/>
        <w:rPr>
          <w:rFonts w:asciiTheme="minorEastAsia" w:hAnsiTheme="minorEastAsia" w:eastAsiaTheme="minorEastAsia"/>
          <w:b/>
          <w:bCs/>
          <w:color w:val="auto"/>
          <w:sz w:val="24"/>
          <w:highlight w:val="none"/>
          <w:lang w:val="zh-CN"/>
        </w:rPr>
      </w:pPr>
      <w:bookmarkStart w:id="96" w:name="_Toc27250"/>
      <w:bookmarkStart w:id="97" w:name="_Toc21423"/>
      <w:bookmarkStart w:id="98" w:name="_Toc19554"/>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0EC3F2E">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w:t>
      </w:r>
      <w:r>
        <w:rPr>
          <w:rFonts w:hint="eastAsia" w:asciiTheme="minorEastAsia" w:hAnsiTheme="minorEastAsia" w:eastAsiaTheme="minorEastAsia"/>
          <w:color w:val="auto"/>
          <w:sz w:val="24"/>
          <w:highlight w:val="none"/>
          <w:u w:val="single"/>
          <w:lang w:val="en-US" w:eastAsia="zh-CN"/>
        </w:rPr>
        <w:t xml:space="preserve">0.5  </w:t>
      </w:r>
      <w:r>
        <w:rPr>
          <w:rFonts w:hint="eastAsia" w:asciiTheme="minorEastAsia" w:hAnsiTheme="minorEastAsia" w:eastAsiaTheme="minorEastAsia"/>
          <w:color w:val="auto"/>
          <w:sz w:val="24"/>
          <w:highlight w:val="none"/>
          <w:u w:val="none"/>
        </w:rPr>
        <w:t>%</w:t>
      </w:r>
      <w:r>
        <w:rPr>
          <w:rFonts w:hint="eastAsia" w:asciiTheme="minorEastAsia" w:hAnsiTheme="minorEastAsia" w:eastAsiaTheme="minorEastAsia"/>
          <w:color w:val="auto"/>
          <w:sz w:val="24"/>
          <w:highlight w:val="none"/>
        </w:rPr>
        <w:t>计算，最高限额为本合同总价的</w:t>
      </w:r>
      <w:r>
        <w:rPr>
          <w:rFonts w:hint="eastAsia" w:asciiTheme="minorEastAsia" w:hAnsiTheme="minorEastAsia" w:eastAsiaTheme="minorEastAsia"/>
          <w:color w:val="auto"/>
          <w:sz w:val="24"/>
          <w:highlight w:val="none"/>
          <w:u w:val="single"/>
          <w:lang w:val="en-US" w:eastAsia="zh-CN"/>
        </w:rPr>
        <w:t xml:space="preserve">  5  </w:t>
      </w:r>
      <w:r>
        <w:rPr>
          <w:rFonts w:hint="eastAsia" w:asciiTheme="minorEastAsia" w:hAnsiTheme="minorEastAsia" w:eastAsiaTheme="minorEastAsia"/>
          <w:color w:val="auto"/>
          <w:sz w:val="24"/>
          <w:highlight w:val="none"/>
        </w:rPr>
        <w:t>%；迟延履行的违约金计算数额达到前述最高限额之日起，甲方有权在要求乙方支付违约金的同时，书面通知乙方解除本合同；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11DD219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0.5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E7B0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EE9DDA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3BBD5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5CB2416">
      <w:pPr>
        <w:spacing w:line="360" w:lineRule="auto"/>
        <w:ind w:firstLine="437"/>
        <w:outlineLvl w:val="3"/>
        <w:rPr>
          <w:rFonts w:asciiTheme="minorEastAsia" w:hAnsiTheme="minorEastAsia" w:eastAsiaTheme="minorEastAsia"/>
          <w:b/>
          <w:bCs/>
          <w:color w:val="auto"/>
          <w:sz w:val="24"/>
          <w:highlight w:val="none"/>
          <w:lang w:val="zh-CN"/>
        </w:rPr>
      </w:pPr>
      <w:bookmarkStart w:id="99" w:name="_Toc15583"/>
      <w:bookmarkStart w:id="100" w:name="_Toc16021"/>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46FD2B79">
      <w:pPr>
        <w:spacing w:line="360" w:lineRule="auto"/>
        <w:ind w:left="239" w:leftChars="114" w:firstLine="256" w:firstLineChars="107"/>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lang w:val="en-US" w:eastAsia="zh-CN"/>
        </w:rPr>
        <w:t>桐城市</w:t>
      </w:r>
      <w:r>
        <w:rPr>
          <w:rFonts w:hint="eastAsia" w:asciiTheme="minorEastAsia" w:hAnsiTheme="minorEastAsia" w:eastAsiaTheme="minorEastAsia"/>
          <w:color w:val="auto"/>
          <w:sz w:val="24"/>
          <w:highlight w:val="none"/>
        </w:rPr>
        <w:t>人民法院起诉。</w:t>
      </w:r>
    </w:p>
    <w:p w14:paraId="451DF028">
      <w:pPr>
        <w:spacing w:line="360" w:lineRule="auto"/>
        <w:ind w:firstLine="437"/>
        <w:outlineLvl w:val="3"/>
        <w:rPr>
          <w:rFonts w:asciiTheme="minorEastAsia" w:hAnsiTheme="minorEastAsia" w:eastAsiaTheme="minorEastAsia"/>
          <w:b/>
          <w:bCs/>
          <w:color w:val="auto"/>
          <w:sz w:val="24"/>
          <w:highlight w:val="none"/>
          <w:lang w:val="zh-CN"/>
        </w:rPr>
      </w:pPr>
      <w:bookmarkStart w:id="102" w:name="_Toc15322"/>
      <w:bookmarkStart w:id="103" w:name="_Toc7245"/>
      <w:bookmarkStart w:id="104"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1D0A866">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E8A9AE9">
      <w:pPr>
        <w:autoSpaceDE w:val="0"/>
        <w:autoSpaceDN w:val="0"/>
        <w:adjustRightInd w:val="0"/>
        <w:spacing w:line="560" w:lineRule="exact"/>
        <w:rPr>
          <w:rFonts w:asciiTheme="minorEastAsia" w:hAnsiTheme="minorEastAsia" w:eastAsiaTheme="minorEastAsia"/>
          <w:color w:val="auto"/>
          <w:sz w:val="24"/>
          <w:highlight w:val="none"/>
          <w:lang w:val="zh-CN"/>
        </w:rPr>
      </w:pPr>
    </w:p>
    <w:p w14:paraId="5FA7A5EC">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p>
    <w:p w14:paraId="76B36C2B">
      <w:pPr>
        <w:widowControl/>
        <w:spacing w:line="560" w:lineRule="exact"/>
        <w:jc w:val="left"/>
        <w:rPr>
          <w:rFonts w:hint="eastAsia" w:asciiTheme="minorEastAsia" w:hAnsiTheme="minorEastAsia" w:eastAsiaTheme="minorEastAsia"/>
          <w:bCs/>
          <w:color w:val="auto"/>
          <w:sz w:val="24"/>
          <w:highlight w:val="none"/>
        </w:rPr>
      </w:pPr>
    </w:p>
    <w:p w14:paraId="10F0473F">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585FB151">
      <w:pPr>
        <w:widowControl/>
        <w:spacing w:line="560" w:lineRule="exact"/>
        <w:jc w:val="left"/>
        <w:rPr>
          <w:rFonts w:hint="default" w:asciiTheme="minorEastAsia" w:hAnsiTheme="minorEastAsia" w:eastAsiaTheme="minorEastAsia"/>
          <w:bCs/>
          <w:color w:val="auto"/>
          <w:sz w:val="24"/>
          <w:highlight w:val="none"/>
          <w:lang w:val="en-US" w:eastAsia="zh-CN"/>
        </w:rPr>
      </w:pPr>
    </w:p>
    <w:p w14:paraId="36B12F6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63933B15">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5" w:name="_Toc8981"/>
      <w:bookmarkStart w:id="106" w:name="_Toc54941341"/>
      <w:bookmarkStart w:id="107" w:name="_Toc1812"/>
      <w:bookmarkStart w:id="108"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9" w:name="_Toc417656001"/>
      <w:r>
        <w:rPr>
          <w:rFonts w:hint="eastAsia" w:ascii="Arial" w:hAnsi="Arial"/>
          <w:color w:val="auto"/>
          <w:kern w:val="2"/>
          <w:sz w:val="36"/>
          <w:szCs w:val="36"/>
          <w:highlight w:val="none"/>
        </w:rPr>
        <w:t>响应文件格式</w:t>
      </w:r>
      <w:bookmarkEnd w:id="105"/>
      <w:bookmarkEnd w:id="106"/>
      <w:bookmarkEnd w:id="107"/>
      <w:bookmarkEnd w:id="108"/>
      <w:bookmarkEnd w:id="109"/>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6C80FB63">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0" w:name="_Hlk44287576"/>
      <w:r>
        <w:rPr>
          <w:rFonts w:hint="eastAsia" w:ascii="宋体" w:hAnsi="宋体" w:eastAsia="宋体"/>
          <w:color w:val="auto"/>
          <w:sz w:val="24"/>
          <w:highlight w:val="none"/>
        </w:rPr>
        <w:t>竞争性谈判公告</w:t>
      </w:r>
      <w:bookmarkEnd w:id="110"/>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4"/>
        <w:numPr>
          <w:ilvl w:val="0"/>
          <w:numId w:val="0"/>
        </w:numPr>
        <w:tabs>
          <w:tab w:val="left" w:pos="2730"/>
        </w:tabs>
        <w:jc w:val="center"/>
        <w:rPr>
          <w:rFonts w:cs="宋体"/>
          <w:color w:val="auto"/>
          <w:sz w:val="28"/>
          <w:szCs w:val="28"/>
          <w:highlight w:val="none"/>
        </w:rPr>
      </w:pPr>
      <w:bookmarkStart w:id="111" w:name="_Toc28034"/>
      <w:bookmarkStart w:id="112" w:name="_Toc54941343"/>
      <w:bookmarkStart w:id="113" w:name="_Toc476584434"/>
      <w:bookmarkStart w:id="114" w:name="_Toc28153"/>
      <w:bookmarkStart w:id="115" w:name="_Toc32647"/>
      <w:bookmarkStart w:id="116"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1"/>
      <w:bookmarkEnd w:id="112"/>
      <w:bookmarkEnd w:id="113"/>
    </w:p>
    <w:p w14:paraId="031F42A7">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4"/>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7"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117"/>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2-2分项报价明细表：</w:t>
      </w:r>
    </w:p>
    <w:tbl>
      <w:tblPr>
        <w:tblStyle w:val="39"/>
        <w:tblpPr w:leftFromText="180" w:rightFromText="180" w:vertAnchor="text" w:horzAnchor="page" w:tblpX="859" w:tblpY="463"/>
        <w:tblOverlap w:val="never"/>
        <w:tblW w:w="1012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9"/>
        <w:gridCol w:w="2012"/>
        <w:gridCol w:w="2544"/>
        <w:gridCol w:w="750"/>
        <w:gridCol w:w="881"/>
        <w:gridCol w:w="1538"/>
        <w:gridCol w:w="1481"/>
      </w:tblGrid>
      <w:tr w14:paraId="3AF9DC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6D98E27E">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序号</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68402F4C">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A255C9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车辆型号、基本配置、出厂日期、车牌号</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9CB8A95">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单位</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0AB8F7E4">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数量</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0C71796F">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单价（元）</w:t>
            </w:r>
          </w:p>
        </w:tc>
        <w:tc>
          <w:tcPr>
            <w:tcW w:w="1481" w:type="dxa"/>
            <w:tcBorders>
              <w:top w:val="single" w:color="auto" w:sz="4" w:space="0"/>
              <w:left w:val="single" w:color="auto" w:sz="4" w:space="0"/>
              <w:bottom w:val="single" w:color="auto" w:sz="4" w:space="0"/>
              <w:right w:val="single" w:color="auto" w:sz="4" w:space="0"/>
            </w:tcBorders>
            <w:noWrap w:val="0"/>
            <w:vAlign w:val="center"/>
          </w:tcPr>
          <w:p w14:paraId="7FEDC88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合价（元）</w:t>
            </w:r>
          </w:p>
        </w:tc>
      </w:tr>
      <w:tr w14:paraId="5C851A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40F9807E">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56D5220C">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50座及以上车辆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8F6F3C7">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66683522">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46EDD26">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17BB18EB">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61C625D3">
            <w:pPr>
              <w:pStyle w:val="12"/>
              <w:ind w:firstLine="0"/>
              <w:rPr>
                <w:rFonts w:hint="eastAsia" w:ascii="宋体" w:hAnsi="宋体" w:eastAsia="宋体" w:cs="宋体"/>
                <w:bCs/>
                <w:color w:val="auto"/>
                <w:kern w:val="0"/>
                <w:sz w:val="24"/>
                <w:szCs w:val="24"/>
                <w:highlight w:val="none"/>
                <w:lang w:val="en-US" w:eastAsia="zh-CN" w:bidi="ar-SA"/>
              </w:rPr>
            </w:pPr>
          </w:p>
        </w:tc>
      </w:tr>
      <w:tr w14:paraId="66EB27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4"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35DA4E8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1017FD69">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E2A53E2">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65D8D98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2C0C11C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162691D0">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702BA811">
            <w:pPr>
              <w:pStyle w:val="12"/>
              <w:ind w:firstLine="0"/>
              <w:rPr>
                <w:rFonts w:hint="eastAsia" w:ascii="宋体" w:hAnsi="宋体" w:eastAsia="宋体" w:cs="宋体"/>
                <w:bCs/>
                <w:color w:val="auto"/>
                <w:kern w:val="0"/>
                <w:sz w:val="24"/>
                <w:szCs w:val="24"/>
                <w:highlight w:val="none"/>
                <w:lang w:val="en-US" w:eastAsia="zh-CN" w:bidi="ar-SA"/>
              </w:rPr>
            </w:pPr>
          </w:p>
        </w:tc>
      </w:tr>
      <w:tr w14:paraId="06EEB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206C0BF8">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分项总价：50座及以上车辆费用：单价：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*4个单边*9个月*22日历天*2辆=</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5F3635DB">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19座及以上车辆：（最终以出行次数按实结算）</w:t>
            </w:r>
          </w:p>
          <w:p w14:paraId="20AC2134">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*4个单边*1个月*22日历天*1辆= </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162665B1">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合计总价：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元</w:t>
            </w:r>
          </w:p>
        </w:tc>
      </w:tr>
      <w:tr w14:paraId="25F2BF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5DAF866D">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备注：每个工作日四个单边，每月按照22个工作日计算。原则上50座及以上车辆使用9个月，19座及以上车辆使用1个月，请各投标人谨慎报价，中标后以所报单价每月按实结算，结算总价不得超过合同价。</w:t>
            </w:r>
          </w:p>
        </w:tc>
      </w:tr>
    </w:tbl>
    <w:p w14:paraId="422074F5">
      <w:pPr>
        <w:adjustRightInd w:val="0"/>
        <w:snapToGrid w:val="0"/>
        <w:spacing w:line="360" w:lineRule="auto"/>
        <w:rPr>
          <w:rFonts w:hint="eastAsia" w:ascii="宋体" w:hAnsi="宋体" w:eastAsia="宋体"/>
          <w:b/>
          <w:bCs/>
          <w:color w:val="auto"/>
          <w:sz w:val="24"/>
          <w:szCs w:val="28"/>
          <w:highlight w:val="none"/>
        </w:rPr>
      </w:pPr>
    </w:p>
    <w:p w14:paraId="1B9692C8">
      <w:pPr>
        <w:adjustRightInd w:val="0"/>
        <w:snapToGrid w:val="0"/>
        <w:spacing w:line="360" w:lineRule="auto"/>
        <w:rPr>
          <w:rFonts w:ascii="宋体" w:cs="宋体"/>
          <w:color w:val="auto"/>
          <w:szCs w:val="21"/>
          <w:highlight w:val="none"/>
        </w:rPr>
      </w:pPr>
      <w:r>
        <w:rPr>
          <w:rFonts w:hint="eastAsia" w:ascii="宋体" w:hAnsi="宋体" w:eastAsia="宋体"/>
          <w:b/>
          <w:bCs/>
          <w:color w:val="auto"/>
          <w:sz w:val="24"/>
          <w:szCs w:val="28"/>
          <w:highlight w:val="none"/>
        </w:rPr>
        <w:t>备注：表中所列服务为对应本项目需求的全部服务内容。如有漏项或缺项，供应商承担全部责任。</w:t>
      </w:r>
    </w:p>
    <w:p w14:paraId="747B8D31">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3B967E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5567C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AA52A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554637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3E88E1">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114"/>
    <w:bookmarkEnd w:id="115"/>
    <w:p w14:paraId="032A22B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116"/>
    <w:p w14:paraId="7E1F6F17">
      <w:pPr>
        <w:spacing w:line="360" w:lineRule="auto"/>
        <w:ind w:firstLine="210" w:firstLineChars="100"/>
        <w:rPr>
          <w:rFonts w:ascii="宋体" w:hAnsi="宋体"/>
          <w:color w:val="auto"/>
          <w:szCs w:val="21"/>
          <w:highlight w:val="none"/>
        </w:rPr>
      </w:pPr>
      <w:bookmarkStart w:id="118" w:name="_Toc54941345"/>
      <w:bookmarkStart w:id="119" w:name="_Toc15038"/>
      <w:bookmarkStart w:id="120"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3949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4363F2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29E0391C">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B23ADF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214DA450">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6B73FEE">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5DC0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1F63CA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6485BBE1">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84ACF3F">
            <w:pPr>
              <w:jc w:val="center"/>
              <w:rPr>
                <w:rFonts w:asciiTheme="minorEastAsia" w:hAnsiTheme="minorEastAsia" w:eastAsiaTheme="minorEastAsia"/>
                <w:color w:val="auto"/>
                <w:sz w:val="24"/>
                <w:highlight w:val="none"/>
              </w:rPr>
            </w:pPr>
          </w:p>
        </w:tc>
        <w:tc>
          <w:tcPr>
            <w:tcW w:w="2347" w:type="dxa"/>
            <w:vAlign w:val="center"/>
          </w:tcPr>
          <w:p w14:paraId="76BFA689">
            <w:pPr>
              <w:jc w:val="center"/>
              <w:rPr>
                <w:rFonts w:asciiTheme="minorEastAsia" w:hAnsiTheme="minorEastAsia" w:eastAsiaTheme="minorEastAsia"/>
                <w:color w:val="auto"/>
                <w:sz w:val="24"/>
                <w:highlight w:val="none"/>
              </w:rPr>
            </w:pPr>
          </w:p>
        </w:tc>
        <w:tc>
          <w:tcPr>
            <w:tcW w:w="1235" w:type="dxa"/>
            <w:vAlign w:val="center"/>
          </w:tcPr>
          <w:p w14:paraId="5D94BD00">
            <w:pPr>
              <w:jc w:val="center"/>
              <w:rPr>
                <w:rFonts w:asciiTheme="minorEastAsia" w:hAnsiTheme="minorEastAsia" w:eastAsiaTheme="minorEastAsia"/>
                <w:color w:val="auto"/>
                <w:sz w:val="24"/>
                <w:highlight w:val="none"/>
              </w:rPr>
            </w:pPr>
          </w:p>
        </w:tc>
      </w:tr>
      <w:tr w14:paraId="378D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80A2FD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717D47B4">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65BB816">
            <w:pPr>
              <w:jc w:val="center"/>
              <w:rPr>
                <w:rFonts w:asciiTheme="minorEastAsia" w:hAnsiTheme="minorEastAsia" w:eastAsiaTheme="minorEastAsia"/>
                <w:color w:val="auto"/>
                <w:sz w:val="24"/>
                <w:highlight w:val="none"/>
              </w:rPr>
            </w:pPr>
          </w:p>
        </w:tc>
        <w:tc>
          <w:tcPr>
            <w:tcW w:w="2347" w:type="dxa"/>
            <w:vAlign w:val="center"/>
          </w:tcPr>
          <w:p w14:paraId="150AD2EC">
            <w:pPr>
              <w:jc w:val="center"/>
              <w:rPr>
                <w:rFonts w:asciiTheme="minorEastAsia" w:hAnsiTheme="minorEastAsia" w:eastAsiaTheme="minorEastAsia"/>
                <w:color w:val="auto"/>
                <w:sz w:val="24"/>
                <w:highlight w:val="none"/>
              </w:rPr>
            </w:pPr>
          </w:p>
        </w:tc>
        <w:tc>
          <w:tcPr>
            <w:tcW w:w="1235" w:type="dxa"/>
            <w:vAlign w:val="center"/>
          </w:tcPr>
          <w:p w14:paraId="54A8D46F">
            <w:pPr>
              <w:jc w:val="center"/>
              <w:rPr>
                <w:rFonts w:asciiTheme="minorEastAsia" w:hAnsiTheme="minorEastAsia" w:eastAsiaTheme="minorEastAsia"/>
                <w:color w:val="auto"/>
                <w:sz w:val="24"/>
                <w:highlight w:val="none"/>
              </w:rPr>
            </w:pPr>
          </w:p>
        </w:tc>
      </w:tr>
      <w:tr w14:paraId="2B25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D32E6E0">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466F913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13CC97F">
            <w:pPr>
              <w:jc w:val="center"/>
              <w:rPr>
                <w:rFonts w:asciiTheme="minorEastAsia" w:hAnsiTheme="minorEastAsia" w:eastAsiaTheme="minorEastAsia"/>
                <w:color w:val="auto"/>
                <w:sz w:val="24"/>
                <w:highlight w:val="none"/>
              </w:rPr>
            </w:pPr>
          </w:p>
        </w:tc>
        <w:tc>
          <w:tcPr>
            <w:tcW w:w="2347" w:type="dxa"/>
            <w:vAlign w:val="center"/>
          </w:tcPr>
          <w:p w14:paraId="7165A197">
            <w:pPr>
              <w:pStyle w:val="124"/>
              <w:jc w:val="center"/>
              <w:rPr>
                <w:rFonts w:asciiTheme="minorEastAsia" w:hAnsiTheme="minorEastAsia" w:eastAsiaTheme="minorEastAsia"/>
                <w:color w:val="auto"/>
                <w:highlight w:val="none"/>
              </w:rPr>
            </w:pPr>
          </w:p>
        </w:tc>
        <w:tc>
          <w:tcPr>
            <w:tcW w:w="1235" w:type="dxa"/>
            <w:vAlign w:val="center"/>
          </w:tcPr>
          <w:p w14:paraId="1D060889">
            <w:pPr>
              <w:jc w:val="center"/>
              <w:rPr>
                <w:rFonts w:asciiTheme="minorEastAsia" w:hAnsiTheme="minorEastAsia" w:eastAsiaTheme="minorEastAsia"/>
                <w:color w:val="auto"/>
                <w:sz w:val="24"/>
                <w:highlight w:val="none"/>
              </w:rPr>
            </w:pPr>
          </w:p>
        </w:tc>
      </w:tr>
      <w:tr w14:paraId="764A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44734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386125B9">
            <w:pPr>
              <w:jc w:val="center"/>
              <w:rPr>
                <w:rFonts w:ascii="宋体" w:hAnsi="宋体"/>
                <w:color w:val="auto"/>
                <w:sz w:val="24"/>
                <w:highlight w:val="none"/>
              </w:rPr>
            </w:pPr>
          </w:p>
        </w:tc>
        <w:tc>
          <w:tcPr>
            <w:tcW w:w="2215" w:type="dxa"/>
            <w:vAlign w:val="center"/>
          </w:tcPr>
          <w:p w14:paraId="6BD9B566">
            <w:pPr>
              <w:jc w:val="center"/>
              <w:rPr>
                <w:rFonts w:asciiTheme="minorEastAsia" w:hAnsiTheme="minorEastAsia" w:eastAsiaTheme="minorEastAsia"/>
                <w:color w:val="auto"/>
                <w:sz w:val="24"/>
                <w:highlight w:val="none"/>
              </w:rPr>
            </w:pPr>
          </w:p>
        </w:tc>
        <w:tc>
          <w:tcPr>
            <w:tcW w:w="2347" w:type="dxa"/>
            <w:vAlign w:val="center"/>
          </w:tcPr>
          <w:p w14:paraId="082119E2">
            <w:pPr>
              <w:jc w:val="center"/>
              <w:rPr>
                <w:rFonts w:asciiTheme="minorEastAsia" w:hAnsiTheme="minorEastAsia" w:eastAsiaTheme="minorEastAsia"/>
                <w:color w:val="auto"/>
                <w:sz w:val="24"/>
                <w:highlight w:val="none"/>
              </w:rPr>
            </w:pPr>
          </w:p>
        </w:tc>
        <w:tc>
          <w:tcPr>
            <w:tcW w:w="1235" w:type="dxa"/>
            <w:vAlign w:val="center"/>
          </w:tcPr>
          <w:p w14:paraId="1D5AA989">
            <w:pPr>
              <w:jc w:val="center"/>
              <w:rPr>
                <w:rFonts w:asciiTheme="minorEastAsia" w:hAnsiTheme="minorEastAsia" w:eastAsiaTheme="minorEastAsia"/>
                <w:color w:val="auto"/>
                <w:sz w:val="24"/>
                <w:highlight w:val="none"/>
              </w:rPr>
            </w:pPr>
          </w:p>
        </w:tc>
      </w:tr>
    </w:tbl>
    <w:p w14:paraId="4E9A8046">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4810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5C4850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0561A81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51E9185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D3D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414A7202">
            <w:pPr>
              <w:spacing w:line="360" w:lineRule="auto"/>
              <w:jc w:val="center"/>
              <w:rPr>
                <w:rFonts w:ascii="宋体" w:hAnsi="宋体" w:cs="宋体"/>
                <w:color w:val="auto"/>
                <w:spacing w:val="-4"/>
                <w:szCs w:val="21"/>
                <w:highlight w:val="none"/>
              </w:rPr>
            </w:pPr>
          </w:p>
        </w:tc>
        <w:tc>
          <w:tcPr>
            <w:tcW w:w="5681" w:type="dxa"/>
            <w:vAlign w:val="center"/>
          </w:tcPr>
          <w:p w14:paraId="01029F0C">
            <w:pPr>
              <w:spacing w:line="360" w:lineRule="auto"/>
              <w:jc w:val="center"/>
              <w:rPr>
                <w:rFonts w:ascii="宋体" w:hAnsi="宋体" w:cs="宋体"/>
                <w:color w:val="auto"/>
                <w:szCs w:val="21"/>
                <w:highlight w:val="none"/>
              </w:rPr>
            </w:pPr>
          </w:p>
        </w:tc>
        <w:tc>
          <w:tcPr>
            <w:tcW w:w="2209" w:type="dxa"/>
            <w:vAlign w:val="center"/>
          </w:tcPr>
          <w:p w14:paraId="26E039D3">
            <w:pPr>
              <w:spacing w:line="360" w:lineRule="auto"/>
              <w:jc w:val="center"/>
              <w:rPr>
                <w:rFonts w:ascii="宋体" w:hAnsi="宋体" w:cs="宋体"/>
                <w:b/>
                <w:color w:val="auto"/>
                <w:szCs w:val="21"/>
                <w:highlight w:val="none"/>
              </w:rPr>
            </w:pPr>
          </w:p>
        </w:tc>
      </w:tr>
      <w:tr w14:paraId="6F61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CB6C398">
            <w:pPr>
              <w:spacing w:line="360" w:lineRule="auto"/>
              <w:jc w:val="center"/>
              <w:rPr>
                <w:rFonts w:ascii="宋体" w:hAnsi="宋体" w:cs="宋体"/>
                <w:color w:val="auto"/>
                <w:spacing w:val="-4"/>
                <w:szCs w:val="21"/>
                <w:highlight w:val="none"/>
              </w:rPr>
            </w:pPr>
          </w:p>
        </w:tc>
        <w:tc>
          <w:tcPr>
            <w:tcW w:w="5681" w:type="dxa"/>
            <w:vAlign w:val="center"/>
          </w:tcPr>
          <w:p w14:paraId="7B0CB328">
            <w:pPr>
              <w:spacing w:line="360" w:lineRule="auto"/>
              <w:jc w:val="center"/>
              <w:rPr>
                <w:rFonts w:ascii="宋体" w:hAnsi="宋体" w:cs="宋体"/>
                <w:color w:val="auto"/>
                <w:szCs w:val="21"/>
                <w:highlight w:val="none"/>
              </w:rPr>
            </w:pPr>
          </w:p>
        </w:tc>
        <w:tc>
          <w:tcPr>
            <w:tcW w:w="2209" w:type="dxa"/>
            <w:vAlign w:val="center"/>
          </w:tcPr>
          <w:p w14:paraId="691AE536">
            <w:pPr>
              <w:spacing w:line="360" w:lineRule="auto"/>
              <w:jc w:val="center"/>
              <w:rPr>
                <w:rFonts w:ascii="宋体" w:hAnsi="宋体" w:cs="宋体"/>
                <w:b/>
                <w:color w:val="auto"/>
                <w:szCs w:val="21"/>
                <w:highlight w:val="none"/>
              </w:rPr>
            </w:pPr>
          </w:p>
        </w:tc>
      </w:tr>
      <w:tr w14:paraId="786C6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94A9E38">
            <w:pPr>
              <w:spacing w:line="360" w:lineRule="auto"/>
              <w:jc w:val="center"/>
              <w:rPr>
                <w:rFonts w:ascii="宋体" w:hAnsi="宋体" w:cs="宋体"/>
                <w:color w:val="auto"/>
                <w:spacing w:val="-4"/>
                <w:szCs w:val="21"/>
                <w:highlight w:val="none"/>
              </w:rPr>
            </w:pPr>
          </w:p>
        </w:tc>
        <w:tc>
          <w:tcPr>
            <w:tcW w:w="5681" w:type="dxa"/>
            <w:vAlign w:val="center"/>
          </w:tcPr>
          <w:p w14:paraId="0F7AC2F3">
            <w:pPr>
              <w:spacing w:line="360" w:lineRule="auto"/>
              <w:jc w:val="center"/>
              <w:rPr>
                <w:rFonts w:ascii="宋体" w:hAnsi="宋体" w:cs="宋体"/>
                <w:color w:val="auto"/>
                <w:szCs w:val="21"/>
                <w:highlight w:val="none"/>
              </w:rPr>
            </w:pPr>
          </w:p>
        </w:tc>
        <w:tc>
          <w:tcPr>
            <w:tcW w:w="2209" w:type="dxa"/>
            <w:vAlign w:val="center"/>
          </w:tcPr>
          <w:p w14:paraId="4492F6D7">
            <w:pPr>
              <w:spacing w:line="360" w:lineRule="auto"/>
              <w:jc w:val="center"/>
              <w:rPr>
                <w:rFonts w:ascii="宋体" w:hAnsi="宋体" w:cs="宋体"/>
                <w:b/>
                <w:color w:val="auto"/>
                <w:szCs w:val="21"/>
                <w:highlight w:val="none"/>
              </w:rPr>
            </w:pPr>
          </w:p>
        </w:tc>
      </w:tr>
    </w:tbl>
    <w:p w14:paraId="413B4E61">
      <w:pPr>
        <w:pStyle w:val="4"/>
        <w:tabs>
          <w:tab w:val="left" w:pos="2730"/>
        </w:tabs>
        <w:rPr>
          <w:color w:val="auto"/>
          <w:highlight w:val="none"/>
        </w:rPr>
      </w:pPr>
    </w:p>
    <w:p w14:paraId="0FF5BDF8">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1E01B11C">
      <w:pPr>
        <w:numPr>
          <w:ilvl w:val="0"/>
          <w:numId w:val="0"/>
        </w:numPr>
        <w:tabs>
          <w:tab w:val="left" w:pos="1815"/>
        </w:tabs>
        <w:spacing w:line="360" w:lineRule="auto"/>
        <w:ind w:left="0" w:leftChars="0" w:firstLine="420" w:firstLineChars="200"/>
        <w:rPr>
          <w:rFonts w:ascii="宋体" w:hAnsi="宋体" w:cs="Arial"/>
          <w:color w:val="auto"/>
          <w:szCs w:val="21"/>
          <w:highlight w:val="none"/>
        </w:rPr>
      </w:pPr>
      <w:r>
        <w:rPr>
          <w:rFonts w:hint="eastAsia" w:ascii="宋体" w:hAnsi="宋体" w:cs="Arial"/>
          <w:color w:val="auto"/>
          <w:sz w:val="21"/>
          <w:szCs w:val="21"/>
          <w:lang w:val="en-US" w:eastAsia="zh-CN" w:bidi="ar-SA"/>
        </w:rPr>
        <w:t>2</w:t>
      </w:r>
      <w:r>
        <w:rPr>
          <w:rFonts w:ascii="宋体" w:hAnsi="宋体" w:eastAsia="宋体" w:cs="Arial"/>
          <w:color w:val="auto"/>
          <w:sz w:val="21"/>
          <w:szCs w:val="21"/>
          <w:lang w:val="en-US" w:eastAsia="zh-CN" w:bidi="ar-SA"/>
        </w:rPr>
        <w:t>、</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65367641">
      <w:pPr>
        <w:pStyle w:val="4"/>
        <w:tabs>
          <w:tab w:val="left" w:pos="2730"/>
        </w:tabs>
        <w:ind w:firstLine="420" w:firstLineChars="200"/>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394EEEB0">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62AB8F">
      <w:pPr>
        <w:pStyle w:val="4"/>
        <w:tabs>
          <w:tab w:val="left" w:pos="2730"/>
        </w:tabs>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4"/>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8"/>
    </w:p>
    <w:p w14:paraId="63EF73C9">
      <w:pPr>
        <w:pStyle w:val="12"/>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bookmarkStart w:id="133" w:name="_GoBack"/>
      <w:bookmarkEnd w:id="133"/>
    </w:p>
    <w:tbl>
      <w:tblPr>
        <w:tblStyle w:val="39"/>
        <w:tblpPr w:leftFromText="180" w:rightFromText="180" w:vertAnchor="text" w:horzAnchor="page" w:tblpX="859" w:tblpY="463"/>
        <w:tblOverlap w:val="never"/>
        <w:tblW w:w="1012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9"/>
        <w:gridCol w:w="2012"/>
        <w:gridCol w:w="2544"/>
        <w:gridCol w:w="750"/>
        <w:gridCol w:w="881"/>
        <w:gridCol w:w="1538"/>
        <w:gridCol w:w="1481"/>
      </w:tblGrid>
      <w:tr w14:paraId="3163BC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6DFE968B">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序号</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4A93E4D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3E46C75C">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车辆型号、基本配置、出厂日期、车牌号</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57D5713">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单位</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029445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数量</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7190AF9B">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单价（元）</w:t>
            </w:r>
          </w:p>
        </w:tc>
        <w:tc>
          <w:tcPr>
            <w:tcW w:w="1481" w:type="dxa"/>
            <w:tcBorders>
              <w:top w:val="single" w:color="auto" w:sz="4" w:space="0"/>
              <w:left w:val="single" w:color="auto" w:sz="4" w:space="0"/>
              <w:bottom w:val="single" w:color="auto" w:sz="4" w:space="0"/>
              <w:right w:val="single" w:color="auto" w:sz="4" w:space="0"/>
            </w:tcBorders>
            <w:noWrap w:val="0"/>
            <w:vAlign w:val="center"/>
          </w:tcPr>
          <w:p w14:paraId="4848060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合价（元）</w:t>
            </w:r>
          </w:p>
        </w:tc>
      </w:tr>
      <w:tr w14:paraId="6AC36B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4373E68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4E34DF97">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50座及以上车辆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42CDCD11">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56F8FB6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0856D96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5D4AD4E9">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2810A0EC">
            <w:pPr>
              <w:pStyle w:val="12"/>
              <w:ind w:firstLine="0"/>
              <w:rPr>
                <w:rFonts w:hint="eastAsia" w:ascii="宋体" w:hAnsi="宋体" w:eastAsia="宋体" w:cs="宋体"/>
                <w:bCs/>
                <w:color w:val="auto"/>
                <w:kern w:val="0"/>
                <w:sz w:val="24"/>
                <w:szCs w:val="24"/>
                <w:highlight w:val="none"/>
                <w:lang w:val="en-US" w:eastAsia="zh-CN" w:bidi="ar-SA"/>
              </w:rPr>
            </w:pPr>
          </w:p>
        </w:tc>
      </w:tr>
      <w:tr w14:paraId="4CEA08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4"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0E0264D8">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50D3AED5">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04B6F681">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3B14142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B35624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332B6AE7">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34E88B3C">
            <w:pPr>
              <w:pStyle w:val="12"/>
              <w:ind w:firstLine="0"/>
              <w:rPr>
                <w:rFonts w:hint="eastAsia" w:ascii="宋体" w:hAnsi="宋体" w:eastAsia="宋体" w:cs="宋体"/>
                <w:bCs/>
                <w:color w:val="auto"/>
                <w:kern w:val="0"/>
                <w:sz w:val="24"/>
                <w:szCs w:val="24"/>
                <w:highlight w:val="none"/>
                <w:lang w:val="en-US" w:eastAsia="zh-CN" w:bidi="ar-SA"/>
              </w:rPr>
            </w:pPr>
          </w:p>
        </w:tc>
      </w:tr>
      <w:tr w14:paraId="0F2B1B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6DCAF1C7">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分项总价：50座及以上车辆费用：单价：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*4个单边*9个月*22日历天*2辆=</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602C02E7">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19座及以上车辆：（最终以出行次数按实结算）</w:t>
            </w:r>
          </w:p>
          <w:p w14:paraId="5D963FCE">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*4个单边*1个月*22日历天*1辆= </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366E6A53">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合计总价：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元</w:t>
            </w:r>
          </w:p>
        </w:tc>
      </w:tr>
      <w:tr w14:paraId="1F0F96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73BEFEF1">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备注：每个工作日四个单边，每月按照22个工作日计算。原则上50座及以上车辆使用9个月，19座及以上车辆使用1个月，请各投标人谨慎报价，中标后以所报单价每月按实结算，结算总价不得超过合同价。</w:t>
            </w:r>
          </w:p>
        </w:tc>
      </w:tr>
    </w:tbl>
    <w:p w14:paraId="6C960E97">
      <w:pPr>
        <w:pStyle w:val="4"/>
        <w:tabs>
          <w:tab w:val="left" w:pos="2730"/>
        </w:tabs>
        <w:rPr>
          <w:rFonts w:ascii="宋体"/>
          <w:color w:val="auto"/>
          <w:szCs w:val="21"/>
          <w:highlight w:val="none"/>
        </w:rPr>
      </w:pPr>
    </w:p>
    <w:p w14:paraId="46637C22">
      <w:pPr>
        <w:rPr>
          <w:color w:val="auto"/>
          <w:highlight w:val="none"/>
        </w:rPr>
      </w:pPr>
    </w:p>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7A1AA92">
      <w:pPr>
        <w:spacing w:line="360" w:lineRule="auto"/>
        <w:ind w:firstLine="3465" w:firstLineChars="1650"/>
        <w:rPr>
          <w:rFonts w:ascii="宋体"/>
          <w:color w:val="auto"/>
          <w:szCs w:val="21"/>
          <w:highlight w:val="none"/>
        </w:rPr>
      </w:pPr>
    </w:p>
    <w:p w14:paraId="46955853">
      <w:pPr>
        <w:rPr>
          <w:rFonts w:ascii="宋体"/>
          <w:color w:val="auto"/>
          <w:szCs w:val="21"/>
          <w:highlight w:val="none"/>
        </w:rPr>
      </w:pPr>
    </w:p>
    <w:bookmarkEnd w:id="119"/>
    <w:bookmarkEnd w:id="120"/>
    <w:p w14:paraId="001B7A20">
      <w:pPr>
        <w:rPr>
          <w:rFonts w:hint="eastAsia" w:cs="宋体"/>
          <w:b/>
          <w:bCs/>
          <w:color w:val="auto"/>
          <w:sz w:val="28"/>
          <w:szCs w:val="28"/>
          <w:highlight w:val="none"/>
          <w:lang w:eastAsia="zh-CN"/>
        </w:rPr>
      </w:pPr>
      <w:bookmarkStart w:id="121" w:name="_Toc2920"/>
      <w:bookmarkStart w:id="122" w:name="_Toc20013"/>
    </w:p>
    <w:bookmarkEnd w:id="121"/>
    <w:bookmarkEnd w:id="122"/>
    <w:p w14:paraId="5EC376F5">
      <w:pPr>
        <w:keepNext w:val="0"/>
        <w:keepLines w:val="0"/>
        <w:widowControl/>
        <w:numPr>
          <w:ilvl w:val="0"/>
          <w:numId w:val="0"/>
        </w:numPr>
        <w:suppressLineNumbers w:val="0"/>
        <w:jc w:val="center"/>
        <w:rPr>
          <w:rFonts w:hint="default" w:ascii="宋体" w:hAnsi="宋体" w:eastAsia="宋体" w:cs="宋体"/>
          <w:b/>
          <w:color w:val="auto"/>
          <w:kern w:val="2"/>
          <w:sz w:val="28"/>
          <w:szCs w:val="28"/>
          <w:highlight w:val="none"/>
          <w:shd w:val="clear" w:color="auto" w:fill="FFFFFF"/>
          <w:lang w:val="en-US" w:eastAsia="zh-CN" w:bidi="ar-SA"/>
        </w:rPr>
      </w:pPr>
      <w:r>
        <w:rPr>
          <w:rFonts w:hint="eastAsia" w:ascii="宋体" w:hAnsi="宋体" w:eastAsia="宋体" w:cs="宋体"/>
          <w:b/>
          <w:color w:val="auto"/>
          <w:kern w:val="2"/>
          <w:sz w:val="28"/>
          <w:szCs w:val="28"/>
          <w:highlight w:val="none"/>
          <w:shd w:val="clear" w:color="auto" w:fill="FFFFFF"/>
          <w:lang w:val="en-US" w:eastAsia="zh-CN" w:bidi="ar-SA"/>
        </w:rPr>
        <w:t>五、服务及技术方案</w:t>
      </w:r>
    </w:p>
    <w:p w14:paraId="37380186">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3" w:name="_Toc25547"/>
      <w:bookmarkStart w:id="124"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3"/>
      <w:bookmarkEnd w:id="124"/>
    </w:p>
    <w:p w14:paraId="10116FDC">
      <w:pPr>
        <w:rPr>
          <w:rFonts w:ascii="仿宋" w:hAnsi="仿宋" w:eastAsia="仿宋" w:cs="仿宋"/>
          <w:b/>
          <w:bCs/>
          <w:color w:val="auto"/>
          <w:sz w:val="24"/>
          <w:highlight w:val="none"/>
        </w:rPr>
      </w:pPr>
    </w:p>
    <w:p w14:paraId="1D27884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F9D610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09018BD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3FB1CAE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094F2EF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038F26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247551B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E164F5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C362F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15C6142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2FA721A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6203913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162F46A0">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426FE1E">
      <w:pPr>
        <w:pStyle w:val="4"/>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25" w:name="_Toc7076"/>
      <w:r>
        <w:rPr>
          <w:rFonts w:hint="eastAsia" w:hAnsi="宋体"/>
          <w:color w:val="auto"/>
          <w:sz w:val="28"/>
          <w:szCs w:val="28"/>
          <w:highlight w:val="none"/>
          <w:lang w:val="en-US" w:eastAsia="zh-CN"/>
        </w:rPr>
        <w:br w:type="page"/>
      </w:r>
    </w:p>
    <w:bookmarkEnd w:id="125"/>
    <w:p w14:paraId="54C00F7B">
      <w:pPr>
        <w:pStyle w:val="4"/>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765838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1C06332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AB4B189">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4B4947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E56264C">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6F1DAA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79251B99">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3B12887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25BB1E">
      <w:pPr>
        <w:pStyle w:val="4"/>
        <w:shd w:val="clear" w:color="auto" w:fill="FFFFFF"/>
        <w:tabs>
          <w:tab w:val="left" w:pos="2730"/>
        </w:tabs>
        <w:jc w:val="center"/>
        <w:rPr>
          <w:rFonts w:hint="eastAsia"/>
          <w:color w:val="auto"/>
          <w:sz w:val="28"/>
          <w:szCs w:val="28"/>
          <w:highlight w:val="none"/>
          <w:lang w:val="en-US" w:eastAsia="zh-CN"/>
        </w:rPr>
      </w:pPr>
      <w:bookmarkStart w:id="126" w:name="_Toc9439"/>
      <w:r>
        <w:rPr>
          <w:rFonts w:hint="eastAsia"/>
          <w:color w:val="auto"/>
          <w:sz w:val="28"/>
          <w:szCs w:val="28"/>
          <w:highlight w:val="none"/>
          <w:lang w:val="en-US" w:eastAsia="zh-CN"/>
        </w:rPr>
        <w:t>八、残疾人福利性单位声明函</w:t>
      </w:r>
      <w:bookmarkEnd w:id="126"/>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505A413">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C7C14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191A72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AB54C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00312F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680584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66F0E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2CC26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0EA90E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5E7A6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7FA0C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C707E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28336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3AF549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63293D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4BD290D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31BFE115">
      <w:pPr>
        <w:pStyle w:val="37"/>
        <w:spacing w:line="360" w:lineRule="auto"/>
        <w:rPr>
          <w:rFonts w:asciiTheme="minorEastAsia" w:hAnsiTheme="minorEastAsia" w:eastAsiaTheme="minorEastAsia"/>
          <w:color w:val="auto"/>
          <w:sz w:val="24"/>
          <w:highlight w:val="none"/>
        </w:rPr>
      </w:pPr>
      <w:bookmarkStart w:id="127" w:name="_Toc26186"/>
      <w:bookmarkStart w:id="128" w:name="_Toc22272"/>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（不允许联合体参加谈判或未组成联合体的，不需此件；允许联合体参加谈判且供应商为联合体参加谈判的，请将此件加盖公章后制成扫描件上传）</w:t>
      </w:r>
    </w:p>
    <w:p w14:paraId="69E4005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2DBB35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21B09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A6A97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5E71B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23335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4AF6F92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0A77684">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BBCCF7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6353D3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147A7A8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B8FC60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93467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1DDFA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4FB3DF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A693E5A">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2793A1">
      <w:pPr>
        <w:spacing w:line="360" w:lineRule="auto"/>
        <w:ind w:firstLine="435"/>
        <w:rPr>
          <w:rFonts w:hint="eastAsia" w:asciiTheme="minorEastAsia" w:hAnsiTheme="minorEastAsia" w:eastAsiaTheme="minorEastAsia"/>
          <w:color w:val="auto"/>
          <w:sz w:val="24"/>
          <w:highlight w:val="none"/>
        </w:rPr>
      </w:pPr>
    </w:p>
    <w:p w14:paraId="7909F223">
      <w:pPr>
        <w:spacing w:line="360" w:lineRule="auto"/>
        <w:ind w:firstLine="435"/>
        <w:jc w:val="righ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5B1ECF8">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7"/>
      <w:bookmarkEnd w:id="128"/>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4"/>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23B2B620">
      <w:pPr>
        <w:spacing w:line="360" w:lineRule="auto"/>
        <w:ind w:firstLine="435"/>
        <w:rPr>
          <w:rFonts w:hint="eastAsia" w:asciiTheme="minorEastAsia" w:hAnsiTheme="minorEastAsia" w:eastAsiaTheme="minorEastAsia"/>
          <w:color w:val="auto"/>
          <w:sz w:val="24"/>
          <w:highlight w:val="none"/>
        </w:rPr>
        <w:sectPr>
          <w:footerReference r:id="rId9" w:type="default"/>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129" w:name="_Toc12703"/>
      <w:bookmarkStart w:id="130" w:name="_Toc2700"/>
      <w:bookmarkStart w:id="131" w:name="_Toc8573"/>
      <w:bookmarkStart w:id="132"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9"/>
      <w:bookmarkEnd w:id="130"/>
      <w:bookmarkEnd w:id="131"/>
      <w:bookmarkEnd w:id="132"/>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0"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58C5C9F"/>
    <w:rsid w:val="07C80EFB"/>
    <w:rsid w:val="08916AB3"/>
    <w:rsid w:val="09287EA3"/>
    <w:rsid w:val="0A91481A"/>
    <w:rsid w:val="10E24D87"/>
    <w:rsid w:val="119A1F8D"/>
    <w:rsid w:val="13750D6C"/>
    <w:rsid w:val="13C347B9"/>
    <w:rsid w:val="16A92918"/>
    <w:rsid w:val="18FA2EDF"/>
    <w:rsid w:val="1A66331F"/>
    <w:rsid w:val="1CE22479"/>
    <w:rsid w:val="1E0104DD"/>
    <w:rsid w:val="1EA4741C"/>
    <w:rsid w:val="20344F28"/>
    <w:rsid w:val="206770AC"/>
    <w:rsid w:val="23241284"/>
    <w:rsid w:val="23530B29"/>
    <w:rsid w:val="283C571B"/>
    <w:rsid w:val="291E2007"/>
    <w:rsid w:val="2CD32C5A"/>
    <w:rsid w:val="30C62676"/>
    <w:rsid w:val="31BF072E"/>
    <w:rsid w:val="35DA59F3"/>
    <w:rsid w:val="388A16E7"/>
    <w:rsid w:val="39F03816"/>
    <w:rsid w:val="3CC75F2B"/>
    <w:rsid w:val="3D874491"/>
    <w:rsid w:val="3F5D7BA0"/>
    <w:rsid w:val="418A33DF"/>
    <w:rsid w:val="435C016E"/>
    <w:rsid w:val="43964717"/>
    <w:rsid w:val="43BE3353"/>
    <w:rsid w:val="443D4540"/>
    <w:rsid w:val="45553AE5"/>
    <w:rsid w:val="45974888"/>
    <w:rsid w:val="47D26073"/>
    <w:rsid w:val="47E75CBA"/>
    <w:rsid w:val="4B700D53"/>
    <w:rsid w:val="4BDA12B0"/>
    <w:rsid w:val="4D317F5A"/>
    <w:rsid w:val="4D3A7115"/>
    <w:rsid w:val="4D677E3B"/>
    <w:rsid w:val="523429E2"/>
    <w:rsid w:val="536D2F2E"/>
    <w:rsid w:val="546D21DB"/>
    <w:rsid w:val="5658373F"/>
    <w:rsid w:val="566D6A2E"/>
    <w:rsid w:val="57346FE0"/>
    <w:rsid w:val="5E677C9B"/>
    <w:rsid w:val="5EA70DDA"/>
    <w:rsid w:val="60C63B32"/>
    <w:rsid w:val="65271F32"/>
    <w:rsid w:val="66091AE9"/>
    <w:rsid w:val="68AB6E74"/>
    <w:rsid w:val="6A2133F4"/>
    <w:rsid w:val="6AC87D14"/>
    <w:rsid w:val="6BE0108D"/>
    <w:rsid w:val="6C550632"/>
    <w:rsid w:val="742915A0"/>
    <w:rsid w:val="774C5829"/>
    <w:rsid w:val="77E56B80"/>
    <w:rsid w:val="78A3591C"/>
    <w:rsid w:val="790E7239"/>
    <w:rsid w:val="7C42088B"/>
    <w:rsid w:val="7CE63738"/>
    <w:rsid w:val="7D3D7B44"/>
    <w:rsid w:val="7E0155BF"/>
    <w:rsid w:val="7EBE08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1"/>
    <w:unhideWhenUsed/>
    <w:qFormat/>
    <w:uiPriority w:val="0"/>
    <w:pPr>
      <w:ind w:left="2730" w:hanging="2730" w:hangingChars="1365"/>
      <w:jc w:val="left"/>
    </w:pPr>
    <w:rPr>
      <w:sz w:val="20"/>
      <w:lang w:bidi="he-IL"/>
    </w:rPr>
  </w:style>
  <w:style w:type="paragraph" w:styleId="15">
    <w:name w:val="envelope return"/>
    <w:basedOn w:val="1"/>
    <w:qFormat/>
    <w:uiPriority w:val="0"/>
    <w:pPr>
      <w:snapToGrid w:val="0"/>
    </w:pPr>
    <w:rPr>
      <w:rFonts w:ascii="Arial" w:hAnsi="Arial"/>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6"/>
    <w:autoRedefine/>
    <w:qFormat/>
    <w:uiPriority w:val="9"/>
    <w:rPr>
      <w:rFonts w:ascii="Times New Roman" w:hAnsi="Times New Roman" w:eastAsia="宋体" w:cs="Times New Roman"/>
      <w:b/>
      <w:bCs/>
      <w:sz w:val="28"/>
      <w:szCs w:val="28"/>
    </w:rPr>
  </w:style>
  <w:style w:type="character" w:customStyle="1" w:styleId="54">
    <w:name w:val="标题 6 字符"/>
    <w:basedOn w:val="41"/>
    <w:link w:val="7"/>
    <w:autoRedefine/>
    <w:qFormat/>
    <w:uiPriority w:val="9"/>
    <w:rPr>
      <w:rFonts w:ascii="Arial" w:hAnsi="Arial" w:eastAsia="黑体" w:cs="Times New Roman"/>
      <w:b/>
      <w:bCs/>
      <w:sz w:val="24"/>
      <w:szCs w:val="24"/>
    </w:rPr>
  </w:style>
  <w:style w:type="character" w:customStyle="1" w:styleId="55">
    <w:name w:val="标题 7 字符"/>
    <w:basedOn w:val="41"/>
    <w:link w:val="8"/>
    <w:autoRedefine/>
    <w:qFormat/>
    <w:uiPriority w:val="0"/>
    <w:rPr>
      <w:rFonts w:ascii="Times New Roman" w:hAnsi="Times New Roman" w:eastAsia="宋体" w:cs="Times New Roman"/>
      <w:b/>
      <w:bCs/>
      <w:sz w:val="24"/>
      <w:szCs w:val="24"/>
    </w:rPr>
  </w:style>
  <w:style w:type="character" w:customStyle="1" w:styleId="56">
    <w:name w:val="标题 8 字符"/>
    <w:basedOn w:val="41"/>
    <w:link w:val="9"/>
    <w:autoRedefine/>
    <w:qFormat/>
    <w:uiPriority w:val="0"/>
    <w:rPr>
      <w:rFonts w:ascii="Arial" w:hAnsi="Arial" w:eastAsia="黑体" w:cs="Times New Roman"/>
      <w:sz w:val="24"/>
      <w:szCs w:val="24"/>
    </w:rPr>
  </w:style>
  <w:style w:type="character" w:customStyle="1" w:styleId="57">
    <w:name w:val="标题 9 字符"/>
    <w:basedOn w:val="41"/>
    <w:link w:val="10"/>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12"/>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13"/>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1719</Words>
  <Characters>1848</Characters>
  <Lines>29</Lines>
  <Paragraphs>8</Paragraphs>
  <TotalTime>1</TotalTime>
  <ScaleCrop>false</ScaleCrop>
  <LinksUpToDate>false</LinksUpToDate>
  <CharactersWithSpaces>1995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2025-08-11T08:37:16Z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536A0EEEAAB24E1AB0A3E9905633E53D_13</vt:lpwstr>
  </property>
  <property fmtid="{D5CDD505-2E9C-101B-9397-08002B2CF9AE}" pid="4" name="KSOTemplateDocerSaveRecord">
    <vt:lpwstr>eyJoZGlkIjoiNDFjNjc4MzM2NGNhOTY1ZjQ2ZmNmMWE4MmVlYzQxYjkiLCJ1c2VySWQiOiIzMDI1ODcyMjYifQ==</vt:lpwstr>
  </property>
</Properties>
</file>