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5"/>
        <w:ind w:left="0" w:leftChars="0" w:firstLine="0" w:firstLineChars="0"/>
      </w:pPr>
    </w:p>
    <w:p w14:paraId="71EAB638">
      <w:pPr>
        <w:spacing w:line="360" w:lineRule="auto"/>
        <w:ind w:firstLine="442" w:firstLineChars="100"/>
        <w:jc w:val="center"/>
        <w:rPr>
          <w:rFonts w:hint="default" w:ascii="宋体" w:hAnsi="宋体" w:eastAsia="宋体" w:cs="宋体"/>
          <w:b/>
          <w:color w:val="auto"/>
          <w:sz w:val="44"/>
          <w:szCs w:val="44"/>
          <w:highlight w:val="none"/>
          <w:lang w:val="en-US" w:eastAsia="zh-CN"/>
        </w:rPr>
      </w:pPr>
      <w:bookmarkStart w:id="0" w:name="OLE_LINK1"/>
      <w:r>
        <w:rPr>
          <w:rFonts w:hint="eastAsia" w:ascii="宋体" w:hAnsi="宋体" w:cs="宋体"/>
          <w:b/>
          <w:color w:val="auto"/>
          <w:sz w:val="44"/>
          <w:szCs w:val="44"/>
          <w:highlight w:val="none"/>
          <w:lang w:val="en-US" w:eastAsia="zh-CN"/>
        </w:rPr>
        <w:t>桐城师范高等专科学校体操房建设项目</w:t>
      </w:r>
      <w:bookmarkEnd w:id="0"/>
    </w:p>
    <w:p w14:paraId="012F5E32">
      <w:pPr>
        <w:pStyle w:val="47"/>
        <w:rPr>
          <w:rFonts w:hint="eastAsia"/>
          <w:color w:val="auto"/>
          <w:highlight w:val="none"/>
        </w:rPr>
      </w:pPr>
    </w:p>
    <w:p w14:paraId="16BD5BFA">
      <w:pPr>
        <w:spacing w:line="480" w:lineRule="exact"/>
        <w:rPr>
          <w:rFonts w:ascii="宋体"/>
          <w:color w:val="auto"/>
          <w:sz w:val="44"/>
          <w:szCs w:val="44"/>
          <w:highlight w:val="none"/>
        </w:rPr>
      </w:pPr>
    </w:p>
    <w:p w14:paraId="2E845CB9">
      <w:pPr>
        <w:pStyle w:val="47"/>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021</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四川柯锐工程项目管理有限公司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2A14EE04">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8  </w:t>
      </w:r>
      <w:r>
        <w:rPr>
          <w:rFonts w:hint="eastAsia" w:ascii="宋体" w:hAnsi="宋体" w:cs="仿宋_GB2312"/>
          <w:color w:val="auto"/>
          <w:sz w:val="32"/>
          <w:szCs w:val="32"/>
          <w:highlight w:val="none"/>
        </w:rPr>
        <w:t>月</w:t>
      </w:r>
    </w:p>
    <w:p w14:paraId="42D3256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3BEA526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72F1C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48"/>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47"/>
        <w:rPr>
          <w:color w:val="auto"/>
          <w:highlight w:val="none"/>
          <w:lang w:val="zh-CN"/>
        </w:rPr>
      </w:pPr>
    </w:p>
    <w:p w14:paraId="6F456B90">
      <w:pPr>
        <w:pStyle w:val="29"/>
        <w:tabs>
          <w:tab w:val="right" w:leader="dot" w:pos="9070"/>
        </w:tabs>
        <w:spacing w:line="360" w:lineRule="auto"/>
        <w:rPr>
          <w:color w:val="auto"/>
          <w:highlight w:val="none"/>
        </w:rPr>
      </w:pPr>
      <w:bookmarkStart w:id="1" w:name="_Toc21464"/>
      <w:bookmarkStart w:id="2" w:name="_Toc54941328"/>
      <w:bookmarkStart w:id="3" w:name="_Toc23467"/>
      <w:bookmarkStart w:id="4"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29"/>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2C52EA40">
      <w:pPr>
        <w:pStyle w:val="21"/>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5"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1"/>
      <w:bookmarkEnd w:id="2"/>
      <w:bookmarkEnd w:id="3"/>
      <w:bookmarkEnd w:id="5"/>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14:paraId="69B8728E">
      <w:pPr>
        <w:jc w:val="center"/>
        <w:rPr>
          <w:rFonts w:ascii="华文中宋" w:hAnsi="华文中宋" w:eastAsia="华文中宋"/>
          <w:b w:val="0"/>
          <w:bCs w:val="0"/>
          <w:color w:val="auto"/>
          <w:kern w:val="44"/>
          <w:sz w:val="32"/>
          <w:szCs w:val="32"/>
          <w:highlight w:val="none"/>
        </w:rPr>
      </w:pPr>
      <w:bookmarkStart w:id="6" w:name="_Toc35393797"/>
      <w:bookmarkStart w:id="7" w:name="_Toc28359011"/>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6"/>
      <w:bookmarkEnd w:id="7"/>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8" w:name="OLE_LINK7"/>
            <w:r>
              <w:rPr>
                <w:rFonts w:ascii="仿宋" w:hAnsi="仿宋" w:eastAsia="仿宋" w:cs="仿宋"/>
                <w:color w:val="333333"/>
                <w:kern w:val="0"/>
                <w:sz w:val="27"/>
                <w:szCs w:val="27"/>
                <w:lang w:val="en-US" w:eastAsia="zh-CN" w:bidi="ar"/>
              </w:rPr>
              <w:t>项目概况</w:t>
            </w:r>
          </w:p>
          <w:p w14:paraId="78714DEE">
            <w:pPr>
              <w:ind w:firstLine="540" w:firstLineChars="200"/>
              <w:rPr>
                <w:color w:val="auto"/>
                <w:highlight w:val="none"/>
              </w:rPr>
            </w:pPr>
            <w:bookmarkStart w:id="9" w:name="OLE_LINK8"/>
            <w:r>
              <w:rPr>
                <w:rFonts w:hint="eastAsia" w:ascii="仿宋" w:hAnsi="仿宋" w:eastAsia="仿宋" w:cs="仿宋"/>
                <w:color w:val="333333"/>
                <w:kern w:val="0"/>
                <w:sz w:val="27"/>
                <w:szCs w:val="27"/>
                <w:u w:val="single"/>
                <w:lang w:val="en-US" w:eastAsia="zh-CN" w:bidi="ar"/>
              </w:rPr>
              <w:t>桐城师范高等专科学校体操房建设项目</w:t>
            </w:r>
            <w:bookmarkEnd w:id="9"/>
            <w:r>
              <w:rPr>
                <w:rFonts w:hint="eastAsia" w:ascii="仿宋" w:hAnsi="仿宋" w:eastAsia="仿宋" w:cs="仿宋"/>
                <w:color w:val="333333"/>
                <w:kern w:val="0"/>
                <w:sz w:val="27"/>
                <w:szCs w:val="27"/>
                <w:lang w:val="en-US" w:eastAsia="zh-CN" w:bidi="ar"/>
              </w:rPr>
              <w:t>的潜在供应商应在桐城师范高等专科学校官网获取采购文件，并于2024年9月6日9时00分（北京时间）前提交响应文件。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rPr>
          <w:color w:val="auto"/>
          <w:szCs w:val="21"/>
          <w:highlight w:val="none"/>
        </w:rPr>
      </w:pPr>
    </w:p>
    <w:p w14:paraId="64B8DB27">
      <w:pPr>
        <w:rPr>
          <w:rFonts w:ascii="黑体" w:hAnsi="黑体" w:eastAsia="黑体" w:cs="宋体"/>
          <w:bCs/>
          <w:color w:val="auto"/>
          <w:sz w:val="28"/>
          <w:szCs w:val="28"/>
          <w:highlight w:val="none"/>
        </w:rPr>
      </w:pPr>
      <w:bookmarkStart w:id="10" w:name="_Toc35393798"/>
      <w:bookmarkStart w:id="11" w:name="_Toc28359012"/>
      <w:bookmarkStart w:id="12" w:name="_Toc28359089"/>
      <w:bookmarkStart w:id="13" w:name="_Toc35393629"/>
      <w:r>
        <w:rPr>
          <w:rFonts w:hint="eastAsia" w:ascii="黑体" w:hAnsi="黑体" w:eastAsia="黑体" w:cs="宋体"/>
          <w:bCs/>
          <w:color w:val="auto"/>
          <w:sz w:val="28"/>
          <w:szCs w:val="28"/>
          <w:highlight w:val="none"/>
        </w:rPr>
        <w:t>一、项目基本情况</w:t>
      </w:r>
      <w:bookmarkEnd w:id="10"/>
      <w:bookmarkEnd w:id="11"/>
      <w:bookmarkEnd w:id="12"/>
      <w:bookmarkEnd w:id="13"/>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021</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bookmarkStart w:id="14" w:name="OLE_LINK9"/>
      <w:r>
        <w:rPr>
          <w:rFonts w:hint="eastAsia" w:ascii="仿宋" w:hAnsi="仿宋" w:eastAsia="仿宋" w:cs="Times New Roman"/>
          <w:color w:val="auto"/>
          <w:sz w:val="28"/>
          <w:szCs w:val="28"/>
          <w:highlight w:val="none"/>
          <w:lang w:val="en-US" w:eastAsia="zh-CN"/>
        </w:rPr>
        <w:t>桐城师范高等专科学校</w:t>
      </w:r>
      <w:bookmarkStart w:id="15" w:name="OLE_LINK12"/>
      <w:r>
        <w:rPr>
          <w:rFonts w:hint="eastAsia" w:ascii="仿宋" w:hAnsi="仿宋" w:eastAsia="仿宋" w:cs="Times New Roman"/>
          <w:color w:val="auto"/>
          <w:sz w:val="28"/>
          <w:szCs w:val="28"/>
          <w:highlight w:val="none"/>
          <w:lang w:val="en-US" w:eastAsia="zh-CN"/>
        </w:rPr>
        <w:t>体操房建设项目</w:t>
      </w:r>
      <w:bookmarkEnd w:id="14"/>
      <w:bookmarkEnd w:id="15"/>
    </w:p>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bookmarkStart w:id="16" w:name="OLE_LINK2"/>
      <w:r>
        <w:rPr>
          <w:rFonts w:hint="eastAsia" w:ascii="仿宋" w:hAnsi="仿宋" w:eastAsia="仿宋"/>
          <w:color w:val="auto"/>
          <w:sz w:val="28"/>
          <w:szCs w:val="28"/>
          <w:highlight w:val="none"/>
          <w:lang w:val="en-US" w:eastAsia="zh-CN"/>
        </w:rPr>
        <w:t>260000元</w:t>
      </w:r>
      <w:bookmarkEnd w:id="16"/>
    </w:p>
    <w:p w14:paraId="1756907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260000元</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桐城师范高等专科学校体操房建设项目</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51E99C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30个日历天</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7" w:name="_Toc35393799"/>
      <w:bookmarkStart w:id="18" w:name="_Toc35393630"/>
      <w:bookmarkStart w:id="19" w:name="_Toc28359090"/>
      <w:bookmarkStart w:id="20" w:name="_Toc28359013"/>
      <w:r>
        <w:rPr>
          <w:rFonts w:hint="eastAsia" w:ascii="黑体" w:hAnsi="黑体" w:eastAsia="黑体" w:cs="宋体"/>
          <w:bCs/>
          <w:color w:val="auto"/>
          <w:sz w:val="28"/>
          <w:szCs w:val="28"/>
          <w:highlight w:val="none"/>
        </w:rPr>
        <w:t>二、申请人的资格要求：</w:t>
      </w:r>
      <w:bookmarkEnd w:id="17"/>
      <w:bookmarkEnd w:id="18"/>
      <w:bookmarkEnd w:id="19"/>
      <w:bookmarkEnd w:id="20"/>
    </w:p>
    <w:p w14:paraId="4CFB7D6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21" w:name="_Toc35393800"/>
      <w:bookmarkStart w:id="22" w:name="_Toc28359014"/>
      <w:bookmarkStart w:id="23" w:name="_Toc35393631"/>
      <w:bookmarkStart w:id="24" w:name="_Toc28359091"/>
      <w:r>
        <w:rPr>
          <w:rFonts w:hint="eastAsia" w:ascii="仿宋" w:hAnsi="仿宋" w:eastAsia="仿宋"/>
          <w:color w:val="auto"/>
          <w:sz w:val="28"/>
          <w:szCs w:val="28"/>
          <w:highlight w:val="none"/>
        </w:rPr>
        <w:t>1.满足《中华人民共和国政府采购法》第二十二条规定；</w:t>
      </w:r>
    </w:p>
    <w:p w14:paraId="79AC79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21"/>
      <w:bookmarkEnd w:id="22"/>
      <w:bookmarkEnd w:id="23"/>
      <w:bookmarkEnd w:id="24"/>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9</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6</w:t>
      </w:r>
      <w:r>
        <w:rPr>
          <w:rFonts w:hint="eastAsia" w:ascii="仿宋" w:hAnsi="仿宋" w:eastAsia="仿宋" w:cs="宋体"/>
          <w:color w:val="auto"/>
          <w:sz w:val="28"/>
          <w:szCs w:val="28"/>
          <w:highlight w:val="none"/>
        </w:rPr>
        <w:t>日9时00分前（北京时间）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25" w:name="_Toc28359015"/>
      <w:bookmarkStart w:id="26" w:name="_Toc35393632"/>
      <w:bookmarkStart w:id="27" w:name="_Toc28359092"/>
      <w:bookmarkStart w:id="28" w:name="_Toc35393801"/>
      <w:r>
        <w:rPr>
          <w:rFonts w:hint="eastAsia" w:ascii="黑体" w:hAnsi="黑体" w:eastAsia="黑体" w:cs="宋体"/>
          <w:bCs/>
          <w:color w:val="auto"/>
          <w:sz w:val="28"/>
          <w:szCs w:val="28"/>
          <w:highlight w:val="none"/>
        </w:rPr>
        <w:t>四、响应文件提交</w:t>
      </w:r>
      <w:bookmarkEnd w:id="25"/>
      <w:bookmarkEnd w:id="26"/>
      <w:bookmarkEnd w:id="27"/>
      <w:bookmarkEnd w:id="28"/>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9" w:name="_Toc28359016"/>
      <w:bookmarkStart w:id="30" w:name="_Toc28359093"/>
      <w:bookmarkStart w:id="31" w:name="_Toc35393633"/>
      <w:bookmarkStart w:id="32"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9</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6</w:t>
      </w:r>
      <w:r>
        <w:rPr>
          <w:rFonts w:hint="eastAsia" w:ascii="仿宋" w:hAnsi="仿宋" w:eastAsia="仿宋" w:cs="仿宋"/>
          <w:b w:val="0"/>
          <w:bCs/>
          <w:color w:val="auto"/>
          <w:sz w:val="28"/>
          <w:szCs w:val="28"/>
          <w:highlight w:val="none"/>
        </w:rPr>
        <w:t>日9时00分</w:t>
      </w:r>
    </w:p>
    <w:p w14:paraId="2FDFF55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桐城市玉雕文化产业园8幢108-109</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9"/>
      <w:bookmarkEnd w:id="30"/>
      <w:bookmarkEnd w:id="31"/>
      <w:bookmarkEnd w:id="32"/>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33" w:name="_Toc28359094"/>
      <w:bookmarkStart w:id="34" w:name="_Toc35393634"/>
      <w:bookmarkStart w:id="35" w:name="_Toc35393803"/>
      <w:bookmarkStart w:id="36" w:name="_Toc28359017"/>
      <w:r>
        <w:rPr>
          <w:rFonts w:hint="eastAsia" w:ascii="仿宋" w:hAnsi="仿宋" w:eastAsia="仿宋"/>
          <w:color w:val="auto"/>
          <w:sz w:val="28"/>
          <w:szCs w:val="28"/>
          <w:highlight w:val="none"/>
          <w:lang w:val="en-US" w:eastAsia="zh-CN"/>
        </w:rPr>
        <w:t>时间：2024年9月6日9时00分</w:t>
      </w:r>
    </w:p>
    <w:p w14:paraId="1541196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地点：桐城市玉雕文化产业园8幢108-109 </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3"/>
      <w:bookmarkEnd w:id="34"/>
      <w:bookmarkEnd w:id="35"/>
      <w:bookmarkEnd w:id="36"/>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bookmarkStart w:id="259" w:name="_GoBack"/>
      <w:bookmarkEnd w:id="259"/>
    </w:p>
    <w:p w14:paraId="7BC7587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7" w:name="_Toc35393804"/>
      <w:bookmarkStart w:id="38" w:name="_Toc35393635"/>
      <w:r>
        <w:rPr>
          <w:rFonts w:hint="eastAsia" w:ascii="黑体" w:hAnsi="黑体" w:eastAsia="黑体" w:cs="宋体"/>
          <w:bCs/>
          <w:color w:val="auto"/>
          <w:sz w:val="28"/>
          <w:szCs w:val="28"/>
          <w:highlight w:val="none"/>
        </w:rPr>
        <w:t>其他补充事宜</w:t>
      </w:r>
      <w:bookmarkEnd w:id="37"/>
      <w:bookmarkEnd w:id="38"/>
    </w:p>
    <w:p w14:paraId="5484C19D">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响应文件要求：投标时需将“响应文件”分正、副本一起装袋密封，并在密封袋上加盖公章。响应文件未按要求装订密封，现场报名时招标代理将拒绝接收。</w:t>
      </w:r>
    </w:p>
    <w:p w14:paraId="28A960D4">
      <w:pPr>
        <w:keepNext w:val="0"/>
        <w:keepLines w:val="0"/>
        <w:pageBreakBefore w:val="0"/>
        <w:widowControl w:val="0"/>
        <w:numPr>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注：响应文件的密封袋的封口骑缝处应加盖投标人印章；响应文件密封袋上均应注明下列识别标志:</w:t>
      </w:r>
    </w:p>
    <w:p w14:paraId="7C0CA9B2">
      <w:pPr>
        <w:keepNext w:val="0"/>
        <w:keepLines w:val="0"/>
        <w:pageBreakBefore w:val="0"/>
        <w:widowControl w:val="0"/>
        <w:numPr>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招标人名称：        项目名称：</w:t>
      </w:r>
    </w:p>
    <w:p w14:paraId="6FEEB453">
      <w:pPr>
        <w:keepNext w:val="0"/>
        <w:keepLines w:val="0"/>
        <w:pageBreakBefore w:val="0"/>
        <w:widowControl w:val="0"/>
        <w:numPr>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年    月    日   时  分，此时间以前不得开封。</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名称：四川柯锐工程项目管理有限公司 </w:t>
      </w:r>
    </w:p>
    <w:p w14:paraId="09C6A8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w:t>
      </w:r>
      <w:bookmarkStart w:id="39" w:name="OLE_LINK3"/>
      <w:r>
        <w:rPr>
          <w:rFonts w:hint="eastAsia" w:ascii="仿宋" w:hAnsi="仿宋" w:eastAsia="仿宋" w:cs="Times New Roman"/>
          <w:color w:val="auto"/>
          <w:sz w:val="28"/>
          <w:szCs w:val="28"/>
          <w:highlight w:val="none"/>
          <w:lang w:val="en-US" w:eastAsia="zh-CN"/>
        </w:rPr>
        <w:t>桐城市玉雕文化产业园8幢108-109</w:t>
      </w:r>
      <w:bookmarkEnd w:id="39"/>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联系人：程工         联系方式：</w:t>
      </w:r>
      <w:bookmarkEnd w:id="8"/>
      <w:r>
        <w:rPr>
          <w:rFonts w:hint="eastAsia" w:ascii="仿宋" w:hAnsi="仿宋" w:eastAsia="仿宋" w:cs="Times New Roman"/>
          <w:color w:val="auto"/>
          <w:sz w:val="28"/>
          <w:szCs w:val="28"/>
          <w:highlight w:val="none"/>
          <w:lang w:val="en-US" w:eastAsia="zh-CN"/>
        </w:rPr>
        <w:t>0556-6029989</w:t>
      </w:r>
    </w:p>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6B31E98C">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40" w:name="_Toc11266"/>
      <w:bookmarkStart w:id="41" w:name="_Toc54941329"/>
      <w:bookmarkStart w:id="42"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4"/>
      <w:bookmarkEnd w:id="40"/>
      <w:bookmarkEnd w:id="41"/>
      <w:bookmarkEnd w:id="42"/>
    </w:p>
    <w:p w14:paraId="47ED1BFF">
      <w:pPr>
        <w:pStyle w:val="3"/>
        <w:rPr>
          <w:rFonts w:hint="eastAsia" w:eastAsia="宋体" w:cs="Tahoma"/>
          <w:bCs/>
          <w:color w:val="auto"/>
          <w:kern w:val="0"/>
          <w:sz w:val="32"/>
          <w:szCs w:val="32"/>
          <w:highlight w:val="none"/>
          <w:lang w:eastAsia="zh-CN"/>
        </w:rPr>
      </w:pPr>
      <w:bookmarkStart w:id="43" w:name="_Toc17862"/>
      <w:bookmarkStart w:id="44" w:name="_Toc439316871"/>
      <w:bookmarkStart w:id="45" w:name="_Toc54941330"/>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43"/>
      <w:bookmarkEnd w:id="44"/>
      <w:bookmarkEnd w:id="45"/>
      <w:r>
        <w:rPr>
          <w:rFonts w:hint="eastAsia" w:cs="Tahoma"/>
          <w:bCs/>
          <w:color w:val="auto"/>
          <w:kern w:val="0"/>
          <w:sz w:val="32"/>
          <w:szCs w:val="32"/>
          <w:highlight w:val="none"/>
          <w:lang w:eastAsia="zh-CN"/>
        </w:rPr>
        <w:t>谈判须知前附表</w:t>
      </w:r>
    </w:p>
    <w:tbl>
      <w:tblPr>
        <w:tblStyle w:val="39"/>
        <w:tblW w:w="90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096"/>
      </w:tblGrid>
      <w:tr w14:paraId="36675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7E465E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5CB140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096" w:type="dxa"/>
            <w:tcBorders>
              <w:top w:val="single" w:color="auto" w:sz="4" w:space="0"/>
              <w:left w:val="single" w:color="auto" w:sz="4" w:space="0"/>
              <w:bottom w:val="single" w:color="auto" w:sz="4" w:space="0"/>
            </w:tcBorders>
            <w:vAlign w:val="center"/>
          </w:tcPr>
          <w:p w14:paraId="1E89792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96E7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4352B76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C45110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096" w:type="dxa"/>
            <w:tcBorders>
              <w:top w:val="single" w:color="auto" w:sz="4" w:space="0"/>
              <w:left w:val="single" w:color="auto" w:sz="4" w:space="0"/>
              <w:bottom w:val="single" w:color="auto" w:sz="4" w:space="0"/>
            </w:tcBorders>
            <w:vAlign w:val="center"/>
          </w:tcPr>
          <w:p w14:paraId="034E643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BC8D1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1E92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4110DC1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096" w:type="dxa"/>
            <w:tcBorders>
              <w:top w:val="single" w:color="auto" w:sz="4" w:space="0"/>
              <w:left w:val="single" w:color="auto" w:sz="4" w:space="0"/>
              <w:bottom w:val="single" w:color="auto" w:sz="4" w:space="0"/>
            </w:tcBorders>
            <w:vAlign w:val="center"/>
          </w:tcPr>
          <w:p w14:paraId="50379E10">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四川柯锐工程项目管理有限公司 </w:t>
            </w:r>
          </w:p>
        </w:tc>
      </w:tr>
      <w:tr w14:paraId="4FE12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8BE4EF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349818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096" w:type="dxa"/>
            <w:tcBorders>
              <w:top w:val="single" w:color="auto" w:sz="4" w:space="0"/>
              <w:left w:val="single" w:color="auto" w:sz="4" w:space="0"/>
              <w:bottom w:val="single" w:color="auto" w:sz="4" w:space="0"/>
            </w:tcBorders>
            <w:vAlign w:val="center"/>
          </w:tcPr>
          <w:p w14:paraId="6F294FCF">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6B2A7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C8BF6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B957B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096" w:type="dxa"/>
            <w:tcBorders>
              <w:top w:val="single" w:color="auto" w:sz="4" w:space="0"/>
              <w:left w:val="single" w:color="auto" w:sz="4" w:space="0"/>
              <w:bottom w:val="single" w:color="auto" w:sz="4" w:space="0"/>
            </w:tcBorders>
            <w:vAlign w:val="center"/>
          </w:tcPr>
          <w:p w14:paraId="5BAAB4B6">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B16E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FC5B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DFAA9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096" w:type="dxa"/>
            <w:tcBorders>
              <w:top w:val="single" w:color="auto" w:sz="4" w:space="0"/>
              <w:left w:val="single" w:color="auto" w:sz="4" w:space="0"/>
              <w:bottom w:val="single" w:color="auto" w:sz="4" w:space="0"/>
            </w:tcBorders>
            <w:vAlign w:val="center"/>
          </w:tcPr>
          <w:p w14:paraId="27DAED48">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76A5B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9F63B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A5745F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096" w:type="dxa"/>
            <w:tcBorders>
              <w:top w:val="single" w:color="auto" w:sz="4" w:space="0"/>
              <w:left w:val="single" w:color="auto" w:sz="4" w:space="0"/>
              <w:bottom w:val="single" w:color="auto" w:sz="4" w:space="0"/>
            </w:tcBorders>
            <w:vAlign w:val="center"/>
          </w:tcPr>
          <w:p w14:paraId="40E67EAD">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68CD2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B64B6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A05A10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096" w:type="dxa"/>
            <w:tcBorders>
              <w:top w:val="single" w:color="auto" w:sz="4" w:space="0"/>
              <w:left w:val="single" w:color="auto" w:sz="4" w:space="0"/>
              <w:bottom w:val="single" w:color="auto" w:sz="4" w:space="0"/>
            </w:tcBorders>
            <w:vAlign w:val="center"/>
          </w:tcPr>
          <w:p w14:paraId="1B1BDC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3368F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D364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CA095B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096" w:type="dxa"/>
            <w:tcBorders>
              <w:top w:val="single" w:color="auto" w:sz="4" w:space="0"/>
              <w:left w:val="single" w:color="auto" w:sz="4" w:space="0"/>
              <w:bottom w:val="single" w:color="auto" w:sz="4" w:space="0"/>
            </w:tcBorders>
            <w:vAlign w:val="center"/>
          </w:tcPr>
          <w:p w14:paraId="214FC558">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382E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E118BC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D7DDCC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096" w:type="dxa"/>
            <w:tcBorders>
              <w:top w:val="single" w:color="auto" w:sz="4" w:space="0"/>
              <w:left w:val="single" w:color="auto" w:sz="4" w:space="0"/>
              <w:bottom w:val="single" w:color="auto" w:sz="4" w:space="0"/>
              <w:right w:val="single" w:color="auto" w:sz="4" w:space="0"/>
            </w:tcBorders>
            <w:vAlign w:val="center"/>
          </w:tcPr>
          <w:p w14:paraId="59A60AD4">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B351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76F0B51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297A109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096" w:type="dxa"/>
            <w:tcBorders>
              <w:top w:val="single" w:color="auto" w:sz="4" w:space="0"/>
              <w:left w:val="single" w:color="auto" w:sz="4" w:space="0"/>
              <w:bottom w:val="single" w:color="auto" w:sz="4" w:space="0"/>
            </w:tcBorders>
            <w:vAlign w:val="center"/>
          </w:tcPr>
          <w:p w14:paraId="39520AC8">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9B56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499A989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3D5CB91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096" w:type="dxa"/>
            <w:tcBorders>
              <w:top w:val="single" w:color="auto" w:sz="4" w:space="0"/>
              <w:left w:val="single" w:color="auto" w:sz="4" w:space="0"/>
              <w:bottom w:val="single" w:color="auto" w:sz="4" w:space="0"/>
            </w:tcBorders>
            <w:vAlign w:val="center"/>
          </w:tcPr>
          <w:p w14:paraId="231FF9F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567BC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E6535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5E533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096" w:type="dxa"/>
            <w:tcBorders>
              <w:top w:val="single" w:color="auto" w:sz="4" w:space="0"/>
              <w:left w:val="single" w:color="auto" w:sz="4" w:space="0"/>
              <w:bottom w:val="single" w:color="auto" w:sz="4" w:space="0"/>
            </w:tcBorders>
            <w:vAlign w:val="center"/>
          </w:tcPr>
          <w:p w14:paraId="2EDA549A">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7986B8B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577511D9">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083A0560">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53DC152A">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52233DA8">
      <w:pPr>
        <w:rPr>
          <w:rFonts w:ascii="宋体" w:hAnsi="宋体"/>
          <w:color w:val="auto"/>
          <w:kern w:val="0"/>
          <w:highlight w:val="none"/>
          <w:lang w:val="zh-CN"/>
        </w:rPr>
      </w:pPr>
      <w:bookmarkStart w:id="46" w:name="_Toc439316872"/>
      <w:r>
        <w:rPr>
          <w:color w:val="auto"/>
          <w:kern w:val="0"/>
          <w:highlight w:val="none"/>
          <w:lang w:val="zh-CN"/>
        </w:rPr>
        <w:br w:type="page"/>
      </w:r>
    </w:p>
    <w:p w14:paraId="62EEFFFA">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7" w:name="_Toc54941331"/>
      <w:bookmarkStart w:id="48"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6"/>
      <w:bookmarkEnd w:id="47"/>
      <w:bookmarkEnd w:id="48"/>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25270"/>
      <w:bookmarkStart w:id="50" w:name="_Toc7325"/>
      <w:bookmarkStart w:id="51" w:name="_Toc15055"/>
      <w:bookmarkStart w:id="52" w:name="_Toc21078"/>
      <w:bookmarkStart w:id="53" w:name="_Toc10523"/>
      <w:bookmarkStart w:id="54" w:name="_Toc439316873"/>
      <w:bookmarkStart w:id="55" w:name="_Toc439316919"/>
      <w:r>
        <w:rPr>
          <w:rFonts w:hint="eastAsia" w:asciiTheme="minorEastAsia" w:hAnsiTheme="minorEastAsia" w:eastAsiaTheme="minorEastAsia" w:cstheme="minorEastAsia"/>
          <w:b/>
          <w:bCs/>
          <w:color w:val="auto"/>
          <w:sz w:val="24"/>
          <w:szCs w:val="24"/>
          <w:highlight w:val="none"/>
          <w:lang w:val="zh-CN"/>
        </w:rPr>
        <w:t>1、适用法律</w:t>
      </w:r>
      <w:bookmarkEnd w:id="49"/>
      <w:bookmarkEnd w:id="50"/>
      <w:bookmarkEnd w:id="51"/>
      <w:bookmarkEnd w:id="52"/>
      <w:bookmarkEnd w:id="53"/>
      <w:bookmarkEnd w:id="54"/>
      <w:bookmarkEnd w:id="55"/>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6" w:name="_Toc439316874"/>
      <w:bookmarkStart w:id="57" w:name="_Toc27113"/>
      <w:bookmarkStart w:id="58" w:name="_Toc1704"/>
      <w:bookmarkStart w:id="59" w:name="_Toc24643"/>
      <w:bookmarkStart w:id="60" w:name="_Toc10933"/>
      <w:bookmarkStart w:id="61" w:name="_Toc8228"/>
      <w:bookmarkStart w:id="62" w:name="_Toc439316920"/>
      <w:r>
        <w:rPr>
          <w:rFonts w:hint="eastAsia" w:asciiTheme="minorEastAsia" w:hAnsiTheme="minorEastAsia" w:eastAsiaTheme="minorEastAsia" w:cstheme="minorEastAsia"/>
          <w:b/>
          <w:bCs/>
          <w:color w:val="auto"/>
          <w:sz w:val="24"/>
          <w:szCs w:val="24"/>
          <w:highlight w:val="none"/>
          <w:lang w:val="zh-CN"/>
        </w:rPr>
        <w:t>2、定义</w:t>
      </w:r>
      <w:bookmarkEnd w:id="56"/>
      <w:bookmarkEnd w:id="57"/>
      <w:bookmarkEnd w:id="58"/>
      <w:bookmarkEnd w:id="59"/>
      <w:bookmarkEnd w:id="60"/>
      <w:bookmarkEnd w:id="61"/>
      <w:bookmarkEnd w:id="62"/>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63" w:name="_Toc439316875"/>
      <w:bookmarkStart w:id="64"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63"/>
      <w:bookmarkEnd w:id="64"/>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5"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5"/>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6" w:name="_Toc476584424"/>
      <w:bookmarkStart w:id="67"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6"/>
      <w:r>
        <w:rPr>
          <w:rFonts w:hint="eastAsia" w:asciiTheme="minorEastAsia" w:hAnsiTheme="minorEastAsia" w:eastAsiaTheme="minorEastAsia" w:cstheme="minorEastAsia"/>
          <w:color w:val="auto"/>
          <w:sz w:val="24"/>
          <w:szCs w:val="24"/>
          <w:highlight w:val="none"/>
        </w:rPr>
        <w:t>提交</w:t>
      </w:r>
      <w:bookmarkEnd w:id="67"/>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8" w:name="_Toc54941336"/>
      <w:bookmarkStart w:id="69"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8"/>
    <w:bookmarkEnd w:id="69"/>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70" w:name="_Toc476584426"/>
      <w:bookmarkStart w:id="71"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70"/>
      <w:bookmarkEnd w:id="71"/>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47"/>
        <w:pageBreakBefore w:val="0"/>
        <w:numPr>
          <w:ilvl w:val="0"/>
          <w:numId w:val="3"/>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669737E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2"/>
        <w:numPr>
          <w:ilvl w:val="0"/>
          <w:numId w:val="0"/>
        </w:numPr>
        <w:spacing w:beforeLines="0" w:afterLines="0"/>
        <w:jc w:val="center"/>
        <w:rPr>
          <w:rFonts w:hint="eastAsia" w:ascii="Arial" w:hAnsi="Arial"/>
          <w:color w:val="auto"/>
          <w:kern w:val="2"/>
          <w:sz w:val="32"/>
          <w:szCs w:val="32"/>
          <w:highlight w:val="none"/>
          <w:lang w:val="en-US" w:eastAsia="zh-CN"/>
        </w:rPr>
      </w:pPr>
      <w:bookmarkStart w:id="72" w:name="_Toc12353"/>
      <w:r>
        <w:rPr>
          <w:rFonts w:hint="eastAsia" w:ascii="Arial" w:hAnsi="Arial"/>
          <w:color w:val="auto"/>
          <w:kern w:val="2"/>
          <w:sz w:val="32"/>
          <w:szCs w:val="32"/>
          <w:highlight w:val="none"/>
          <w:lang w:val="en-US" w:eastAsia="zh-CN"/>
        </w:rPr>
        <w:t>第三章 采购需求</w:t>
      </w:r>
      <w:bookmarkEnd w:id="72"/>
    </w:p>
    <w:p w14:paraId="76288867">
      <w:pPr>
        <w:keepNext w:val="0"/>
        <w:keepLines w:val="0"/>
        <w:pageBreakBefore w:val="0"/>
        <w:widowControl w:val="0"/>
        <w:kinsoku/>
        <w:wordWrap/>
        <w:overflowPunct/>
        <w:topLinePunct w:val="0"/>
        <w:autoSpaceDE/>
        <w:autoSpaceDN/>
        <w:bidi w:val="0"/>
        <w:adjustRightInd w:val="0"/>
        <w:snapToGrid/>
        <w:spacing w:line="240" w:lineRule="auto"/>
        <w:ind w:firstLine="480" w:firstLineChars="200"/>
        <w:textAlignment w:val="auto"/>
        <w:rPr>
          <w:rFonts w:hint="eastAsia" w:ascii="微软雅黑" w:hAnsi="微软雅黑" w:eastAsia="微软雅黑" w:cs="微软雅黑"/>
          <w:sz w:val="24"/>
          <w:szCs w:val="24"/>
        </w:rPr>
      </w:pPr>
      <w:bookmarkStart w:id="73" w:name="_Toc16371"/>
      <w:r>
        <w:rPr>
          <w:rFonts w:hint="eastAsia" w:ascii="微软雅黑" w:hAnsi="微软雅黑" w:eastAsia="微软雅黑" w:cs="微软雅黑"/>
          <w:b/>
          <w:bCs/>
          <w:sz w:val="24"/>
          <w:szCs w:val="24"/>
        </w:rPr>
        <w:t>一、</w:t>
      </w:r>
      <w:r>
        <w:rPr>
          <w:rFonts w:hint="eastAsia" w:ascii="宋体" w:hAnsi="宋体" w:eastAsia="宋体" w:cs="宋体"/>
          <w:b/>
          <w:bCs/>
          <w:sz w:val="24"/>
          <w:szCs w:val="24"/>
        </w:rPr>
        <w:t>商务要求</w:t>
      </w:r>
    </w:p>
    <w:tbl>
      <w:tblPr>
        <w:tblStyle w:val="39"/>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2"/>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完成本项目所有内容并验收合格后一次性支付</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30个日历天</w:t>
            </w:r>
          </w:p>
        </w:tc>
      </w:tr>
    </w:tbl>
    <w:p w14:paraId="6FA85DD2">
      <w:pPr>
        <w:ind w:firstLine="422" w:firstLineChars="200"/>
        <w:rPr>
          <w:rFonts w:ascii="宋体" w:hAnsi="宋体"/>
          <w:b/>
          <w:bCs/>
          <w:szCs w:val="21"/>
        </w:rPr>
      </w:pPr>
    </w:p>
    <w:p w14:paraId="2F149F06">
      <w:pPr>
        <w:pStyle w:val="8"/>
        <w:keepNext/>
        <w:keepLines/>
        <w:pageBreakBefore w:val="0"/>
        <w:widowControl w:val="0"/>
        <w:numPr>
          <w:ilvl w:val="0"/>
          <w:numId w:val="4"/>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项目</w:t>
      </w:r>
      <w:r>
        <w:rPr>
          <w:rFonts w:hint="eastAsia" w:ascii="宋体" w:hAnsi="宋体" w:eastAsia="宋体" w:cs="宋体"/>
          <w:bCs/>
          <w:sz w:val="24"/>
          <w:szCs w:val="24"/>
        </w:rPr>
        <w:t>内容</w:t>
      </w:r>
    </w:p>
    <w:p w14:paraId="4414F2E4">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桐城师范高等专科学校</w:t>
      </w:r>
      <w:r>
        <w:rPr>
          <w:rFonts w:hint="eastAsia" w:asciiTheme="minorEastAsia" w:hAnsiTheme="minorEastAsia" w:eastAsiaTheme="minorEastAsia"/>
          <w:sz w:val="24"/>
          <w:lang w:val="en-US" w:eastAsia="zh-CN"/>
        </w:rPr>
        <w:t>体操房建设项目</w:t>
      </w:r>
      <w:r>
        <w:rPr>
          <w:rFonts w:hint="eastAsia" w:asciiTheme="minorEastAsia" w:hAnsiTheme="minorEastAsia" w:eastAsiaTheme="minorEastAsia"/>
          <w:sz w:val="24"/>
        </w:rPr>
        <w:t>。</w:t>
      </w:r>
    </w:p>
    <w:p w14:paraId="18056CA8">
      <w:pPr>
        <w:keepNext w:val="0"/>
        <w:keepLines w:val="0"/>
        <w:pageBreakBefore w:val="0"/>
        <w:widowControl w:val="0"/>
        <w:numPr>
          <w:ilvl w:val="0"/>
          <w:numId w:val="4"/>
        </w:numPr>
        <w:kinsoku/>
        <w:wordWrap/>
        <w:overflowPunct/>
        <w:topLinePunct w:val="0"/>
        <w:autoSpaceDE/>
        <w:autoSpaceDN/>
        <w:bidi w:val="0"/>
        <w:adjustRightInd w:val="0"/>
        <w:snapToGrid/>
        <w:spacing w:before="157" w:beforeLines="50" w:after="157" w:afterLines="50" w:line="360" w:lineRule="auto"/>
        <w:ind w:left="0" w:leftChars="0" w:firstLine="472" w:firstLineChars="196"/>
        <w:textAlignment w:val="auto"/>
        <w:rPr>
          <w:rFonts w:hint="eastAsia" w:asciiTheme="minorEastAsia" w:hAnsiTheme="minorEastAsia" w:eastAsiaTheme="minorEastAsia"/>
          <w:b/>
          <w:sz w:val="24"/>
        </w:rPr>
      </w:pPr>
      <w:r>
        <w:rPr>
          <w:rFonts w:hint="eastAsia" w:asciiTheme="minorEastAsia" w:hAnsiTheme="minorEastAsia" w:eastAsiaTheme="minorEastAsia"/>
          <w:b/>
          <w:sz w:val="24"/>
          <w:lang w:val="en-US" w:eastAsia="zh-CN"/>
        </w:rPr>
        <w:t>技术要求一览表</w:t>
      </w:r>
    </w:p>
    <w:tbl>
      <w:tblPr>
        <w:tblStyle w:val="39"/>
        <w:tblW w:w="10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550"/>
        <w:gridCol w:w="7200"/>
        <w:gridCol w:w="683"/>
        <w:gridCol w:w="681"/>
      </w:tblGrid>
      <w:tr w14:paraId="2DE1E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64" w:type="dxa"/>
            <w:vAlign w:val="center"/>
          </w:tcPr>
          <w:p w14:paraId="0AF1259B">
            <w:pPr>
              <w:widowControl/>
              <w:jc w:val="center"/>
              <w:rPr>
                <w:rFonts w:ascii="宋体" w:hAnsi="宋体" w:eastAsia="宋体" w:cs="宋体"/>
                <w:kern w:val="0"/>
                <w:sz w:val="20"/>
                <w:szCs w:val="20"/>
              </w:rPr>
            </w:pPr>
            <w:r>
              <w:rPr>
                <w:rFonts w:hint="eastAsia" w:ascii="宋体" w:hAnsi="宋体" w:eastAsia="宋体" w:cs="宋体"/>
                <w:kern w:val="0"/>
                <w:sz w:val="20"/>
                <w:szCs w:val="20"/>
              </w:rPr>
              <w:t>序号</w:t>
            </w:r>
          </w:p>
        </w:tc>
        <w:tc>
          <w:tcPr>
            <w:tcW w:w="1550" w:type="dxa"/>
            <w:shd w:val="clear" w:color="auto" w:fill="auto"/>
            <w:noWrap/>
            <w:vAlign w:val="center"/>
          </w:tcPr>
          <w:p w14:paraId="2C1A9760">
            <w:pPr>
              <w:widowControl/>
              <w:jc w:val="center"/>
              <w:rPr>
                <w:rFonts w:ascii="宋体" w:hAnsi="宋体" w:eastAsia="宋体" w:cs="宋体"/>
                <w:kern w:val="0"/>
                <w:sz w:val="20"/>
                <w:szCs w:val="20"/>
              </w:rPr>
            </w:pPr>
            <w:r>
              <w:rPr>
                <w:rFonts w:hint="eastAsia" w:ascii="宋体" w:hAnsi="宋体" w:eastAsia="宋体" w:cs="宋体"/>
                <w:kern w:val="0"/>
                <w:sz w:val="20"/>
                <w:szCs w:val="20"/>
              </w:rPr>
              <w:t>产品名称</w:t>
            </w:r>
          </w:p>
        </w:tc>
        <w:tc>
          <w:tcPr>
            <w:tcW w:w="7200" w:type="dxa"/>
            <w:shd w:val="clear" w:color="auto" w:fill="auto"/>
            <w:noWrap/>
            <w:vAlign w:val="center"/>
          </w:tcPr>
          <w:p w14:paraId="5ADC070E">
            <w:pPr>
              <w:widowControl/>
              <w:jc w:val="center"/>
              <w:rPr>
                <w:rFonts w:ascii="宋体" w:hAnsi="宋体" w:eastAsia="宋体" w:cs="宋体"/>
                <w:kern w:val="0"/>
                <w:sz w:val="20"/>
                <w:szCs w:val="20"/>
              </w:rPr>
            </w:pPr>
            <w:r>
              <w:rPr>
                <w:rFonts w:hint="eastAsia" w:ascii="宋体" w:hAnsi="宋体" w:eastAsia="宋体" w:cs="宋体"/>
                <w:kern w:val="0"/>
                <w:sz w:val="20"/>
                <w:szCs w:val="20"/>
              </w:rPr>
              <w:t>规格参数</w:t>
            </w:r>
          </w:p>
        </w:tc>
        <w:tc>
          <w:tcPr>
            <w:tcW w:w="683" w:type="dxa"/>
            <w:shd w:val="clear" w:color="auto" w:fill="auto"/>
            <w:noWrap/>
            <w:vAlign w:val="center"/>
          </w:tcPr>
          <w:p w14:paraId="07FA4B55">
            <w:pPr>
              <w:widowControl/>
              <w:jc w:val="center"/>
              <w:rPr>
                <w:rFonts w:ascii="宋体" w:hAnsi="宋体" w:eastAsia="宋体" w:cs="宋体"/>
                <w:kern w:val="0"/>
                <w:sz w:val="20"/>
                <w:szCs w:val="20"/>
              </w:rPr>
            </w:pPr>
            <w:r>
              <w:rPr>
                <w:rFonts w:hint="eastAsia" w:ascii="宋体" w:hAnsi="宋体" w:eastAsia="宋体" w:cs="宋体"/>
                <w:kern w:val="0"/>
                <w:sz w:val="20"/>
                <w:szCs w:val="20"/>
              </w:rPr>
              <w:t>单位</w:t>
            </w:r>
          </w:p>
        </w:tc>
        <w:tc>
          <w:tcPr>
            <w:tcW w:w="681" w:type="dxa"/>
            <w:shd w:val="clear" w:color="auto" w:fill="auto"/>
            <w:noWrap/>
            <w:vAlign w:val="center"/>
          </w:tcPr>
          <w:p w14:paraId="167C6F84">
            <w:pPr>
              <w:widowControl/>
              <w:jc w:val="center"/>
              <w:rPr>
                <w:rFonts w:ascii="宋体" w:hAnsi="宋体" w:eastAsia="宋体" w:cs="宋体"/>
                <w:kern w:val="0"/>
                <w:sz w:val="20"/>
                <w:szCs w:val="20"/>
              </w:rPr>
            </w:pPr>
            <w:r>
              <w:rPr>
                <w:rFonts w:hint="eastAsia" w:ascii="宋体" w:hAnsi="宋体" w:eastAsia="宋体" w:cs="宋体"/>
                <w:kern w:val="0"/>
                <w:sz w:val="20"/>
                <w:szCs w:val="20"/>
              </w:rPr>
              <w:t>数量</w:t>
            </w:r>
          </w:p>
        </w:tc>
      </w:tr>
      <w:tr w14:paraId="08A6D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9" w:hRule="atLeast"/>
          <w:jc w:val="center"/>
        </w:trPr>
        <w:tc>
          <w:tcPr>
            <w:tcW w:w="664" w:type="dxa"/>
            <w:vAlign w:val="center"/>
          </w:tcPr>
          <w:p w14:paraId="70E3B14B">
            <w:pPr>
              <w:widowControl/>
              <w:jc w:val="center"/>
              <w:rPr>
                <w:rFonts w:ascii="宋体" w:hAnsi="宋体" w:eastAsia="宋体"/>
                <w:sz w:val="20"/>
                <w:szCs w:val="20"/>
              </w:rPr>
            </w:pPr>
            <w:r>
              <w:rPr>
                <w:rFonts w:hint="eastAsia" w:ascii="宋体" w:hAnsi="宋体" w:eastAsia="宋体"/>
                <w:sz w:val="20"/>
                <w:szCs w:val="20"/>
              </w:rPr>
              <w:t>1</w:t>
            </w:r>
          </w:p>
        </w:tc>
        <w:tc>
          <w:tcPr>
            <w:tcW w:w="1550" w:type="dxa"/>
            <w:shd w:val="clear" w:color="auto" w:fill="auto"/>
            <w:noWrap/>
            <w:vAlign w:val="center"/>
          </w:tcPr>
          <w:p w14:paraId="55F13FB9">
            <w:pPr>
              <w:widowControl/>
              <w:jc w:val="center"/>
              <w:rPr>
                <w:rFonts w:ascii="宋体" w:hAnsi="宋体" w:eastAsia="宋体"/>
                <w:sz w:val="20"/>
                <w:szCs w:val="20"/>
              </w:rPr>
            </w:pPr>
            <w:r>
              <w:rPr>
                <w:rFonts w:hint="eastAsia" w:ascii="宋体" w:hAnsi="宋体" w:eastAsia="宋体"/>
                <w:sz w:val="20"/>
                <w:szCs w:val="20"/>
              </w:rPr>
              <w:t>高级单杠</w:t>
            </w:r>
          </w:p>
        </w:tc>
        <w:tc>
          <w:tcPr>
            <w:tcW w:w="7200" w:type="dxa"/>
            <w:shd w:val="clear" w:color="auto" w:fill="auto"/>
            <w:noWrap/>
            <w:vAlign w:val="center"/>
          </w:tcPr>
          <w:p w14:paraId="3CBE201E">
            <w:pPr>
              <w:widowControl/>
              <w:jc w:val="left"/>
              <w:rPr>
                <w:rFonts w:ascii="宋体" w:hAnsi="宋体" w:eastAsia="宋体" w:cs="宋体"/>
                <w:kern w:val="0"/>
                <w:sz w:val="20"/>
                <w:szCs w:val="20"/>
              </w:rPr>
            </w:pPr>
            <w:r>
              <w:rPr>
                <w:rFonts w:ascii="宋体" w:hAnsi="宋体" w:eastAsia="宋体" w:cs="宋体"/>
                <w:kern w:val="0"/>
                <w:sz w:val="20"/>
                <w:szCs w:val="20"/>
              </w:rPr>
              <w:t>1、单杠由底座、内外立柱及杠面、地板钩拉紧装置等组成，可装拆，便于包装运输。</w:t>
            </w:r>
          </w:p>
          <w:p w14:paraId="32472B79">
            <w:pPr>
              <w:widowControl/>
              <w:jc w:val="left"/>
              <w:rPr>
                <w:rFonts w:ascii="宋体" w:hAnsi="宋体" w:eastAsia="宋体" w:cs="宋体"/>
                <w:kern w:val="0"/>
                <w:sz w:val="20"/>
                <w:szCs w:val="20"/>
              </w:rPr>
            </w:pPr>
            <w:r>
              <w:rPr>
                <w:rFonts w:ascii="宋体" w:hAnsi="宋体" w:eastAsia="宋体" w:cs="宋体"/>
                <w:kern w:val="0"/>
                <w:sz w:val="20"/>
                <w:szCs w:val="20"/>
              </w:rPr>
              <w:t xml:space="preserve">2、杠面选用φ28x2400mm的碳素弹簧钢，内立柱为φ42x4mm无缝管，外立柱为φ51x4mm无缝管，内立柱上设有调节孔，通过调节销调节杠面高度。     </w:t>
            </w:r>
          </w:p>
          <w:p w14:paraId="6D9902A7">
            <w:pPr>
              <w:widowControl/>
              <w:jc w:val="left"/>
              <w:rPr>
                <w:rFonts w:ascii="宋体" w:hAnsi="宋体" w:eastAsia="宋体" w:cs="宋体"/>
                <w:kern w:val="0"/>
                <w:sz w:val="20"/>
                <w:szCs w:val="20"/>
              </w:rPr>
            </w:pPr>
            <w:r>
              <w:rPr>
                <w:rFonts w:ascii="宋体" w:hAnsi="宋体" w:eastAsia="宋体" w:cs="宋体"/>
                <w:kern w:val="0"/>
                <w:sz w:val="20"/>
                <w:szCs w:val="20"/>
              </w:rPr>
              <w:t>3、杠面弹性：杠面中心静载荷力2200N，挠度约100mm,取消外力变形≤1mm。</w:t>
            </w:r>
          </w:p>
          <w:p w14:paraId="04787E48">
            <w:pPr>
              <w:widowControl/>
              <w:jc w:val="left"/>
              <w:rPr>
                <w:rFonts w:ascii="宋体" w:hAnsi="宋体" w:eastAsia="宋体" w:cs="宋体"/>
                <w:kern w:val="0"/>
                <w:sz w:val="20"/>
                <w:szCs w:val="20"/>
              </w:rPr>
            </w:pPr>
            <w:r>
              <w:rPr>
                <w:rFonts w:ascii="宋体" w:hAnsi="宋体" w:eastAsia="宋体" w:cs="宋体"/>
                <w:kern w:val="0"/>
                <w:sz w:val="20"/>
                <w:szCs w:val="20"/>
              </w:rPr>
              <w:t>4、在二立柱外侧面有左右两个地板预埋钩件，用于钢绳拉钩，通过花篮螺栓紧固，使立柱直立于地板面不致以晃动。拉紧器、链条、钢丝绳极限载荷≥8000N，拉紧器转动灵活。</w:t>
            </w:r>
          </w:p>
          <w:p w14:paraId="42807366">
            <w:pPr>
              <w:widowControl/>
              <w:jc w:val="left"/>
              <w:rPr>
                <w:rFonts w:ascii="宋体" w:hAnsi="宋体" w:eastAsia="宋体" w:cs="宋体"/>
                <w:kern w:val="0"/>
                <w:sz w:val="20"/>
                <w:szCs w:val="20"/>
              </w:rPr>
            </w:pPr>
            <w:r>
              <w:rPr>
                <w:rFonts w:ascii="宋体" w:hAnsi="宋体" w:eastAsia="宋体" w:cs="宋体"/>
                <w:kern w:val="0"/>
                <w:sz w:val="20"/>
                <w:szCs w:val="20"/>
              </w:rPr>
              <w:t>5、底座与内立柱的联结处设有微调机构，使单杠杠面达到所需要高度，单杠可调高度范围：2550-2850㎜。</w:t>
            </w:r>
          </w:p>
          <w:p w14:paraId="680B6879">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6、</w:t>
            </w:r>
            <w:r>
              <w:rPr>
                <w:rFonts w:hint="eastAsia" w:ascii="宋体" w:hAnsi="宋体" w:eastAsia="宋体" w:cs="宋体"/>
                <w:kern w:val="0"/>
                <w:sz w:val="20"/>
                <w:szCs w:val="20"/>
              </w:rPr>
              <w:t>产品所有器材均在全自动喷涂流水线上作业，经抛丸——脱脂——水洗——无磷转化——水洗——烘干——静电粉末——固化等过程。涂层表面附着力参照</w:t>
            </w:r>
            <w:r>
              <w:rPr>
                <w:rFonts w:ascii="宋体" w:hAnsi="宋体" w:eastAsia="宋体" w:cs="宋体"/>
                <w:kern w:val="0"/>
                <w:sz w:val="20"/>
                <w:szCs w:val="20"/>
              </w:rPr>
              <w:t>GB/T3325-2017要求：附着力不低于2级，耐腐蚀性能≥6级。产品具有耐酸碱、耐湿热、抗老化、外观美观等优点，能适合潮湿和酸雨环境，且产品涂料配方不含有毒元素，避免损害使用者的健康。</w:t>
            </w:r>
          </w:p>
        </w:tc>
        <w:tc>
          <w:tcPr>
            <w:tcW w:w="683" w:type="dxa"/>
            <w:shd w:val="clear" w:color="auto" w:fill="auto"/>
            <w:noWrap/>
            <w:vAlign w:val="center"/>
          </w:tcPr>
          <w:p w14:paraId="020C81A6">
            <w:pPr>
              <w:widowControl/>
              <w:jc w:val="center"/>
              <w:rPr>
                <w:rFonts w:ascii="宋体" w:hAnsi="宋体" w:eastAsia="宋体"/>
                <w:color w:val="000000"/>
                <w:sz w:val="20"/>
                <w:szCs w:val="20"/>
              </w:rPr>
            </w:pPr>
            <w:r>
              <w:rPr>
                <w:rFonts w:hint="eastAsia" w:ascii="宋体" w:hAnsi="宋体" w:eastAsia="宋体"/>
                <w:color w:val="000000"/>
                <w:sz w:val="20"/>
                <w:szCs w:val="20"/>
              </w:rPr>
              <w:t>套</w:t>
            </w:r>
          </w:p>
        </w:tc>
        <w:tc>
          <w:tcPr>
            <w:tcW w:w="681" w:type="dxa"/>
            <w:shd w:val="clear" w:color="auto" w:fill="auto"/>
            <w:noWrap/>
            <w:vAlign w:val="center"/>
          </w:tcPr>
          <w:p w14:paraId="278CC1AF">
            <w:pPr>
              <w:jc w:val="center"/>
              <w:rPr>
                <w:rFonts w:ascii="宋体" w:hAnsi="宋体" w:eastAsia="宋体"/>
                <w:color w:val="000000"/>
                <w:sz w:val="20"/>
                <w:szCs w:val="20"/>
              </w:rPr>
            </w:pPr>
            <w:r>
              <w:rPr>
                <w:rFonts w:hint="eastAsia" w:ascii="宋体" w:hAnsi="宋体" w:eastAsia="宋体"/>
                <w:color w:val="000000"/>
                <w:sz w:val="20"/>
                <w:szCs w:val="20"/>
              </w:rPr>
              <w:t>1</w:t>
            </w:r>
          </w:p>
        </w:tc>
      </w:tr>
      <w:tr w14:paraId="0923C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6" w:hRule="atLeast"/>
          <w:jc w:val="center"/>
        </w:trPr>
        <w:tc>
          <w:tcPr>
            <w:tcW w:w="664" w:type="dxa"/>
            <w:vAlign w:val="center"/>
          </w:tcPr>
          <w:p w14:paraId="50357A23">
            <w:pPr>
              <w:jc w:val="center"/>
              <w:rPr>
                <w:rFonts w:ascii="宋体" w:hAnsi="宋体" w:eastAsia="宋体"/>
                <w:sz w:val="20"/>
                <w:szCs w:val="20"/>
              </w:rPr>
            </w:pPr>
            <w:r>
              <w:rPr>
                <w:rFonts w:hint="eastAsia" w:ascii="宋体" w:hAnsi="宋体" w:eastAsia="宋体"/>
                <w:sz w:val="20"/>
                <w:szCs w:val="20"/>
              </w:rPr>
              <w:t>2</w:t>
            </w:r>
          </w:p>
        </w:tc>
        <w:tc>
          <w:tcPr>
            <w:tcW w:w="1550" w:type="dxa"/>
            <w:shd w:val="clear" w:color="auto" w:fill="auto"/>
            <w:noWrap/>
            <w:vAlign w:val="center"/>
          </w:tcPr>
          <w:p w14:paraId="72A96583">
            <w:pPr>
              <w:jc w:val="center"/>
              <w:rPr>
                <w:rFonts w:ascii="宋体" w:hAnsi="宋体" w:eastAsia="宋体"/>
                <w:sz w:val="20"/>
                <w:szCs w:val="20"/>
              </w:rPr>
            </w:pPr>
            <w:r>
              <w:rPr>
                <w:rFonts w:hint="eastAsia" w:ascii="宋体" w:hAnsi="宋体" w:eastAsia="宋体"/>
                <w:sz w:val="20"/>
                <w:szCs w:val="20"/>
              </w:rPr>
              <w:t xml:space="preserve">单杠保护垫     </w:t>
            </w:r>
          </w:p>
        </w:tc>
        <w:tc>
          <w:tcPr>
            <w:tcW w:w="7200" w:type="dxa"/>
            <w:shd w:val="clear" w:color="auto" w:fill="auto"/>
            <w:noWrap/>
            <w:vAlign w:val="center"/>
          </w:tcPr>
          <w:p w14:paraId="4960ACFB">
            <w:pPr>
              <w:widowControl/>
              <w:jc w:val="left"/>
              <w:rPr>
                <w:rFonts w:ascii="宋体" w:hAnsi="宋体" w:eastAsia="宋体" w:cs="宋体"/>
                <w:kern w:val="0"/>
                <w:sz w:val="20"/>
                <w:szCs w:val="20"/>
              </w:rPr>
            </w:pPr>
            <w:r>
              <w:rPr>
                <w:rFonts w:ascii="宋体" w:hAnsi="宋体" w:eastAsia="宋体" w:cs="宋体"/>
                <w:kern w:val="0"/>
                <w:sz w:val="20"/>
                <w:szCs w:val="20"/>
              </w:rPr>
              <w:t>1、专用垫总厚度为200mm，由上下两层不同密度的材料组合而成，弹性舒适；</w:t>
            </w:r>
          </w:p>
          <w:p w14:paraId="55BD8264">
            <w:pPr>
              <w:widowControl/>
              <w:jc w:val="left"/>
              <w:rPr>
                <w:rFonts w:ascii="宋体" w:hAnsi="宋体" w:eastAsia="宋体" w:cs="宋体"/>
                <w:kern w:val="0"/>
                <w:sz w:val="20"/>
                <w:szCs w:val="20"/>
              </w:rPr>
            </w:pPr>
            <w:r>
              <w:rPr>
                <w:rFonts w:ascii="宋体" w:hAnsi="宋体" w:eastAsia="宋体" w:cs="宋体"/>
                <w:kern w:val="0"/>
                <w:sz w:val="20"/>
                <w:szCs w:val="20"/>
              </w:rPr>
              <w:t>2、垫子下层由四块垫子拼装组成，总尺寸：12米×2米，采用侧面缝刺毛毡连接，每块垫子四边各设气孔2个，均匀布置，左右对称缝提手各2个；</w:t>
            </w:r>
          </w:p>
          <w:p w14:paraId="226D3E55">
            <w:pPr>
              <w:widowControl/>
              <w:jc w:val="left"/>
              <w:rPr>
                <w:rFonts w:ascii="宋体" w:hAnsi="宋体" w:eastAsia="宋体" w:cs="宋体"/>
                <w:kern w:val="0"/>
                <w:sz w:val="20"/>
                <w:szCs w:val="20"/>
              </w:rPr>
            </w:pPr>
            <w:r>
              <w:rPr>
                <w:rFonts w:ascii="宋体" w:hAnsi="宋体" w:eastAsia="宋体" w:cs="宋体"/>
                <w:kern w:val="0"/>
                <w:sz w:val="20"/>
                <w:szCs w:val="20"/>
              </w:rPr>
              <w:t>3、垫子上层外包蓝色PVC双面革，表面经防滑处理。</w:t>
            </w:r>
          </w:p>
          <w:p w14:paraId="0137A855">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4．海绵:</w:t>
            </w:r>
          </w:p>
          <w:p w14:paraId="2CAA4062">
            <w:pPr>
              <w:widowControl/>
              <w:jc w:val="left"/>
              <w:rPr>
                <w:rFonts w:ascii="宋体" w:hAnsi="宋体" w:eastAsia="宋体" w:cs="宋体"/>
                <w:kern w:val="0"/>
                <w:sz w:val="20"/>
                <w:szCs w:val="20"/>
              </w:rPr>
            </w:pPr>
            <w:r>
              <w:rPr>
                <w:rFonts w:ascii="宋体" w:hAnsi="宋体" w:eastAsia="宋体" w:cs="宋体"/>
                <w:kern w:val="0"/>
                <w:sz w:val="20"/>
                <w:szCs w:val="20"/>
              </w:rPr>
              <w:t>1）海绵密度≥45kg/m3</w:t>
            </w:r>
            <w:r>
              <w:rPr>
                <w:rFonts w:hint="eastAsia" w:ascii="宋体" w:hAnsi="宋体" w:eastAsia="宋体" w:cs="宋体"/>
                <w:kern w:val="0"/>
                <w:sz w:val="20"/>
                <w:szCs w:val="20"/>
              </w:rPr>
              <w:t>，</w:t>
            </w:r>
            <w:r>
              <w:rPr>
                <w:rFonts w:ascii="宋体" w:hAnsi="宋体" w:eastAsia="宋体" w:cs="宋体"/>
                <w:kern w:val="0"/>
                <w:sz w:val="20"/>
                <w:szCs w:val="20"/>
              </w:rPr>
              <w:t>检测方法:参照 GB/T 6343-2009《泡沫塑料及橡胶 表观密度的测定》。</w:t>
            </w:r>
          </w:p>
          <w:p w14:paraId="2739EFF5">
            <w:pPr>
              <w:widowControl/>
              <w:jc w:val="left"/>
              <w:rPr>
                <w:rFonts w:ascii="宋体" w:hAnsi="宋体" w:eastAsia="宋体" w:cs="宋体"/>
                <w:kern w:val="0"/>
                <w:sz w:val="20"/>
                <w:szCs w:val="20"/>
              </w:rPr>
            </w:pPr>
            <w:r>
              <w:rPr>
                <w:rFonts w:ascii="宋体" w:hAnsi="宋体" w:eastAsia="宋体" w:cs="宋体"/>
                <w:kern w:val="0"/>
                <w:sz w:val="20"/>
                <w:szCs w:val="20"/>
              </w:rPr>
              <w:t>2）海绵回弹率≥45%，检测方法:参照 GB/T 6670-2008《软质泡沫聚合材料 落球法回弹性能的测定》</w:t>
            </w:r>
            <w:r>
              <w:rPr>
                <w:rFonts w:hint="eastAsia" w:ascii="宋体" w:hAnsi="宋体" w:eastAsia="宋体" w:cs="宋体"/>
                <w:kern w:val="0"/>
                <w:sz w:val="20"/>
                <w:szCs w:val="20"/>
              </w:rPr>
              <w:t>，方法A。</w:t>
            </w:r>
          </w:p>
          <w:p w14:paraId="57375DD1">
            <w:pPr>
              <w:widowControl/>
              <w:jc w:val="left"/>
              <w:rPr>
                <w:rFonts w:ascii="宋体" w:hAnsi="宋体" w:eastAsia="宋体" w:cs="宋体"/>
                <w:kern w:val="0"/>
                <w:sz w:val="20"/>
                <w:szCs w:val="20"/>
              </w:rPr>
            </w:pPr>
            <w:r>
              <w:rPr>
                <w:rFonts w:ascii="宋体" w:hAnsi="宋体" w:eastAsia="宋体" w:cs="宋体"/>
                <w:kern w:val="0"/>
                <w:sz w:val="20"/>
                <w:szCs w:val="20"/>
              </w:rPr>
              <w:t>3）压缩永久变形</w:t>
            </w:r>
            <w:r>
              <w:rPr>
                <w:rFonts w:hint="eastAsia" w:ascii="宋体" w:hAnsi="宋体" w:eastAsia="宋体" w:cs="宋体"/>
                <w:kern w:val="0"/>
                <w:sz w:val="20"/>
                <w:szCs w:val="20"/>
              </w:rPr>
              <w:t>≤</w:t>
            </w:r>
            <w:r>
              <w:rPr>
                <w:rFonts w:ascii="宋体" w:hAnsi="宋体" w:eastAsia="宋体" w:cs="宋体"/>
                <w:kern w:val="0"/>
                <w:sz w:val="20"/>
                <w:szCs w:val="20"/>
              </w:rPr>
              <w:t>4%，检测方法:参照 GBT 6669-2008《软质泡沫聚合材料 压缩永久变形的测定》。</w:t>
            </w:r>
          </w:p>
          <w:p w14:paraId="472B81A5">
            <w:pPr>
              <w:widowControl/>
              <w:jc w:val="left"/>
              <w:rPr>
                <w:rFonts w:ascii="宋体" w:hAnsi="宋体" w:eastAsia="宋体" w:cs="宋体"/>
                <w:kern w:val="0"/>
                <w:sz w:val="20"/>
                <w:szCs w:val="20"/>
              </w:rPr>
            </w:pPr>
            <w:r>
              <w:rPr>
                <w:rFonts w:ascii="宋体" w:hAnsi="宋体" w:eastAsia="宋体" w:cs="宋体"/>
                <w:kern w:val="0"/>
                <w:sz w:val="20"/>
                <w:szCs w:val="20"/>
              </w:rPr>
              <w:t>4）海绵阻燃符合：EN1021-1:2014(阴燃烟卷)不可燃。EN1021-2:2014(匹配相等的火焰)不可燃。大气条件23±2°c和50±5%相对湿度，至少24小时。</w:t>
            </w:r>
          </w:p>
          <w:p w14:paraId="10DA4E62">
            <w:pPr>
              <w:widowControl/>
              <w:jc w:val="left"/>
              <w:rPr>
                <w:rFonts w:ascii="宋体" w:hAnsi="宋体" w:eastAsia="宋体" w:cs="宋体"/>
                <w:b/>
                <w:kern w:val="0"/>
                <w:sz w:val="20"/>
                <w:szCs w:val="20"/>
              </w:rPr>
            </w:pPr>
            <w:r>
              <w:rPr>
                <w:rFonts w:hint="eastAsia" w:ascii="宋体" w:hAnsi="宋体" w:eastAsia="宋体" w:cs="宋体"/>
                <w:b/>
                <w:kern w:val="0"/>
                <w:sz w:val="20"/>
                <w:szCs w:val="20"/>
              </w:rPr>
              <w:t>参考图片：</w:t>
            </w:r>
          </w:p>
          <w:p w14:paraId="0247C470">
            <w:pPr>
              <w:widowControl/>
              <w:jc w:val="left"/>
              <w:rPr>
                <w:rFonts w:ascii="宋体" w:hAnsi="宋体" w:eastAsia="宋体" w:cs="宋体"/>
                <w:kern w:val="0"/>
                <w:sz w:val="20"/>
                <w:szCs w:val="20"/>
              </w:rPr>
            </w:pPr>
            <w:r>
              <w:rPr>
                <w:sz w:val="20"/>
                <w:szCs w:val="20"/>
              </w:rPr>
              <w:drawing>
                <wp:inline distT="0" distB="0" distL="0" distR="0">
                  <wp:extent cx="2743200" cy="1338580"/>
                  <wp:effectExtent l="0" t="0" r="0" b="0"/>
                  <wp:docPr id="1" name="图片 174" descr="单杠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74" descr="单杠垫"/>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808926" cy="1338580"/>
                          </a:xfrm>
                          <a:prstGeom prst="rect">
                            <a:avLst/>
                          </a:prstGeom>
                          <a:noFill/>
                          <a:ln>
                            <a:noFill/>
                          </a:ln>
                        </pic:spPr>
                      </pic:pic>
                    </a:graphicData>
                  </a:graphic>
                </wp:inline>
              </w:drawing>
            </w:r>
          </w:p>
        </w:tc>
        <w:tc>
          <w:tcPr>
            <w:tcW w:w="683" w:type="dxa"/>
            <w:shd w:val="clear" w:color="auto" w:fill="auto"/>
            <w:noWrap/>
            <w:vAlign w:val="center"/>
          </w:tcPr>
          <w:p w14:paraId="6E82B2BB">
            <w:pPr>
              <w:jc w:val="center"/>
              <w:rPr>
                <w:rFonts w:ascii="宋体" w:hAnsi="宋体" w:eastAsia="宋体"/>
                <w:color w:val="000000"/>
                <w:sz w:val="20"/>
                <w:szCs w:val="20"/>
              </w:rPr>
            </w:pPr>
            <w:r>
              <w:rPr>
                <w:rFonts w:hint="eastAsia" w:ascii="宋体" w:hAnsi="宋体" w:eastAsia="宋体"/>
                <w:color w:val="000000"/>
                <w:sz w:val="20"/>
                <w:szCs w:val="20"/>
              </w:rPr>
              <w:t>套</w:t>
            </w:r>
          </w:p>
        </w:tc>
        <w:tc>
          <w:tcPr>
            <w:tcW w:w="681" w:type="dxa"/>
            <w:shd w:val="clear" w:color="auto" w:fill="auto"/>
            <w:noWrap/>
            <w:vAlign w:val="center"/>
          </w:tcPr>
          <w:p w14:paraId="44C50171">
            <w:pPr>
              <w:jc w:val="center"/>
              <w:rPr>
                <w:rFonts w:ascii="宋体" w:hAnsi="宋体" w:eastAsia="宋体"/>
                <w:color w:val="000000"/>
                <w:sz w:val="20"/>
                <w:szCs w:val="20"/>
              </w:rPr>
            </w:pPr>
            <w:r>
              <w:rPr>
                <w:rFonts w:hint="eastAsia" w:ascii="宋体" w:hAnsi="宋体" w:eastAsia="宋体"/>
                <w:color w:val="000000"/>
                <w:sz w:val="20"/>
                <w:szCs w:val="20"/>
              </w:rPr>
              <w:t>1</w:t>
            </w:r>
          </w:p>
        </w:tc>
      </w:tr>
      <w:tr w14:paraId="6C199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3" w:hRule="atLeast"/>
          <w:jc w:val="center"/>
        </w:trPr>
        <w:tc>
          <w:tcPr>
            <w:tcW w:w="664" w:type="dxa"/>
            <w:vAlign w:val="center"/>
          </w:tcPr>
          <w:p w14:paraId="2B515B44">
            <w:pPr>
              <w:jc w:val="center"/>
              <w:rPr>
                <w:rFonts w:ascii="宋体" w:hAnsi="宋体" w:eastAsia="宋体"/>
                <w:sz w:val="20"/>
                <w:szCs w:val="20"/>
              </w:rPr>
            </w:pPr>
            <w:r>
              <w:rPr>
                <w:rFonts w:hint="eastAsia" w:ascii="宋体" w:hAnsi="宋体" w:eastAsia="宋体"/>
                <w:sz w:val="20"/>
                <w:szCs w:val="20"/>
              </w:rPr>
              <w:t>3</w:t>
            </w:r>
          </w:p>
        </w:tc>
        <w:tc>
          <w:tcPr>
            <w:tcW w:w="1550" w:type="dxa"/>
            <w:shd w:val="clear" w:color="auto" w:fill="auto"/>
            <w:noWrap/>
            <w:vAlign w:val="center"/>
          </w:tcPr>
          <w:p w14:paraId="4FEEB8D5">
            <w:pPr>
              <w:jc w:val="center"/>
              <w:rPr>
                <w:rFonts w:ascii="宋体" w:hAnsi="宋体" w:eastAsia="宋体"/>
                <w:sz w:val="20"/>
                <w:szCs w:val="20"/>
              </w:rPr>
            </w:pPr>
            <w:r>
              <w:rPr>
                <w:rFonts w:hint="eastAsia" w:ascii="宋体" w:hAnsi="宋体" w:eastAsia="宋体"/>
                <w:sz w:val="20"/>
                <w:szCs w:val="20"/>
              </w:rPr>
              <w:t>高级双杠</w:t>
            </w:r>
          </w:p>
        </w:tc>
        <w:tc>
          <w:tcPr>
            <w:tcW w:w="7200" w:type="dxa"/>
            <w:shd w:val="clear" w:color="auto" w:fill="auto"/>
            <w:noWrap/>
            <w:vAlign w:val="center"/>
          </w:tcPr>
          <w:p w14:paraId="43D96543">
            <w:pPr>
              <w:widowControl/>
              <w:jc w:val="left"/>
              <w:rPr>
                <w:rFonts w:ascii="宋体" w:hAnsi="宋体" w:eastAsia="宋体" w:cs="宋体"/>
                <w:kern w:val="0"/>
                <w:sz w:val="20"/>
                <w:szCs w:val="20"/>
              </w:rPr>
            </w:pPr>
            <w:r>
              <w:rPr>
                <w:rFonts w:ascii="宋体" w:hAnsi="宋体" w:eastAsia="宋体" w:cs="宋体"/>
                <w:kern w:val="0"/>
                <w:sz w:val="20"/>
                <w:szCs w:val="20"/>
              </w:rPr>
              <w:t>1、双杠杠面尺寸：长x横截面=3500x（50x40）mm，杠面采用复合玻璃钢材料在专用模具上经特殊加工而成，其杠面有一定的弹性与韧性，且杠面表面具有较好的手感性。杠面静载荷力1350N、极限载荷3500N不列不折， 取消外力残余变形≤1mm。</w:t>
            </w:r>
          </w:p>
          <w:p w14:paraId="511E3664">
            <w:pPr>
              <w:widowControl/>
              <w:jc w:val="left"/>
              <w:rPr>
                <w:rFonts w:ascii="宋体" w:hAnsi="宋体" w:eastAsia="宋体" w:cs="宋体"/>
                <w:kern w:val="0"/>
                <w:sz w:val="20"/>
                <w:szCs w:val="20"/>
              </w:rPr>
            </w:pPr>
            <w:r>
              <w:rPr>
                <w:rFonts w:ascii="宋体" w:hAnsi="宋体" w:eastAsia="宋体" w:cs="宋体"/>
                <w:kern w:val="0"/>
                <w:sz w:val="20"/>
                <w:szCs w:val="20"/>
              </w:rPr>
              <w:t>2、双杠四柱脚为精密铸件，高300mm，柱脚上端设有限位装置且增设锁紧套。柱脚与柱筒连接，柱筒内立柱每50mm设一调节档，杠面高度调节范围：1700—2050mm之间。</w:t>
            </w:r>
          </w:p>
          <w:p w14:paraId="024C9969">
            <w:pPr>
              <w:widowControl/>
              <w:jc w:val="left"/>
              <w:rPr>
                <w:rFonts w:ascii="宋体" w:hAnsi="宋体" w:eastAsia="宋体" w:cs="宋体"/>
                <w:kern w:val="0"/>
                <w:sz w:val="20"/>
                <w:szCs w:val="20"/>
              </w:rPr>
            </w:pPr>
            <w:r>
              <w:rPr>
                <w:rFonts w:ascii="宋体" w:hAnsi="宋体" w:eastAsia="宋体" w:cs="宋体"/>
                <w:kern w:val="0"/>
                <w:sz w:val="20"/>
                <w:szCs w:val="20"/>
              </w:rPr>
              <w:t>3、底座尺寸：长X宽=2400x1300（mm），底座采用δ6 mm的优质钢板压制成型，通过螺栓联成“井”字形结构，便于拆装，底座下设置有橡胶垫块，保持产品在使用过程中有良好的平衡性和抗震性。</w:t>
            </w:r>
          </w:p>
          <w:p w14:paraId="0B3709F9">
            <w:pPr>
              <w:widowControl/>
              <w:jc w:val="left"/>
              <w:rPr>
                <w:rFonts w:ascii="宋体" w:hAnsi="宋体" w:eastAsia="宋体" w:cs="宋体"/>
                <w:kern w:val="0"/>
                <w:sz w:val="20"/>
                <w:szCs w:val="20"/>
              </w:rPr>
            </w:pPr>
            <w:r>
              <w:rPr>
                <w:rFonts w:ascii="宋体" w:hAnsi="宋体" w:eastAsia="宋体" w:cs="宋体"/>
                <w:kern w:val="0"/>
                <w:sz w:val="20"/>
                <w:szCs w:val="20"/>
              </w:rPr>
              <w:t>4、双杠两杠面间距可调，杠面直度≤2mm。</w:t>
            </w:r>
          </w:p>
          <w:p w14:paraId="5D072FDF">
            <w:pPr>
              <w:widowControl/>
              <w:jc w:val="left"/>
              <w:rPr>
                <w:rFonts w:ascii="宋体" w:hAnsi="宋体" w:eastAsia="宋体" w:cs="宋体"/>
                <w:kern w:val="0"/>
                <w:sz w:val="20"/>
                <w:szCs w:val="20"/>
              </w:rPr>
            </w:pPr>
            <w:r>
              <w:rPr>
                <w:rFonts w:ascii="宋体" w:hAnsi="宋体" w:eastAsia="宋体" w:cs="宋体"/>
                <w:kern w:val="0"/>
                <w:sz w:val="20"/>
                <w:szCs w:val="20"/>
              </w:rPr>
              <w:t>5、双杠外管采用φ60x4 mm无缝管制作，内立柱为Φ50 mm优质圆钢，表面经热镀锌处理。</w:t>
            </w:r>
          </w:p>
          <w:p w14:paraId="515D2257">
            <w:pPr>
              <w:widowControl/>
              <w:jc w:val="left"/>
              <w:rPr>
                <w:rFonts w:ascii="宋体" w:hAnsi="宋体" w:eastAsia="宋体" w:cs="宋体"/>
                <w:kern w:val="0"/>
                <w:sz w:val="20"/>
                <w:szCs w:val="20"/>
              </w:rPr>
            </w:pPr>
            <w:r>
              <w:rPr>
                <w:rFonts w:ascii="宋体" w:hAnsi="宋体" w:eastAsia="宋体" w:cs="宋体"/>
                <w:kern w:val="0"/>
                <w:sz w:val="20"/>
                <w:szCs w:val="20"/>
              </w:rPr>
              <w:t>6、双杠配备的移动小车利用偏心原理，其偏心挂钩钩住底座腰形孔，将手把向下轻压至底座上，双杠整体向上，只需一人手握杠面即可轻推双杠移动。</w:t>
            </w:r>
          </w:p>
          <w:p w14:paraId="2BAD5459">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7、</w:t>
            </w:r>
            <w:r>
              <w:rPr>
                <w:rFonts w:hint="eastAsia" w:ascii="宋体" w:hAnsi="宋体" w:eastAsia="宋体" w:cs="宋体"/>
                <w:kern w:val="0"/>
                <w:sz w:val="20"/>
                <w:szCs w:val="20"/>
              </w:rPr>
              <w:t>产品所有器材均在全自动喷涂流水线上作业，经抛丸——脱脂——水洗——无磷转化——水洗——烘干——静电粉末——固化等过程。涂层表面附着力参照</w:t>
            </w:r>
            <w:r>
              <w:rPr>
                <w:rFonts w:ascii="宋体" w:hAnsi="宋体" w:eastAsia="宋体" w:cs="宋体"/>
                <w:kern w:val="0"/>
                <w:sz w:val="20"/>
                <w:szCs w:val="20"/>
              </w:rPr>
              <w:t>GB/T3325-2017要求：附着力不低于2级，耐腐蚀性能≥6级。产品具有耐酸碱、耐湿热、抗老化、外观美观等优点，能适合潮湿和酸雨环境，且产品涂料配方不含有毒元素，避免损害使用者的健康。</w:t>
            </w:r>
          </w:p>
        </w:tc>
        <w:tc>
          <w:tcPr>
            <w:tcW w:w="683" w:type="dxa"/>
            <w:shd w:val="clear" w:color="auto" w:fill="auto"/>
            <w:noWrap/>
            <w:vAlign w:val="center"/>
          </w:tcPr>
          <w:p w14:paraId="4FA98BC1">
            <w:pPr>
              <w:jc w:val="center"/>
              <w:rPr>
                <w:rFonts w:ascii="宋体" w:hAnsi="宋体" w:eastAsia="宋体"/>
                <w:color w:val="000000"/>
                <w:sz w:val="20"/>
                <w:szCs w:val="20"/>
              </w:rPr>
            </w:pPr>
            <w:r>
              <w:rPr>
                <w:rFonts w:hint="eastAsia" w:ascii="宋体" w:hAnsi="宋体" w:eastAsia="宋体"/>
                <w:color w:val="000000"/>
                <w:sz w:val="20"/>
                <w:szCs w:val="20"/>
              </w:rPr>
              <w:t>套</w:t>
            </w:r>
          </w:p>
        </w:tc>
        <w:tc>
          <w:tcPr>
            <w:tcW w:w="681" w:type="dxa"/>
            <w:shd w:val="clear" w:color="auto" w:fill="auto"/>
            <w:noWrap/>
            <w:vAlign w:val="center"/>
          </w:tcPr>
          <w:p w14:paraId="2757C0FD">
            <w:pPr>
              <w:jc w:val="center"/>
              <w:rPr>
                <w:rFonts w:ascii="宋体" w:hAnsi="宋体" w:eastAsia="宋体"/>
                <w:color w:val="000000"/>
                <w:sz w:val="20"/>
                <w:szCs w:val="20"/>
              </w:rPr>
            </w:pPr>
            <w:r>
              <w:rPr>
                <w:rFonts w:hint="eastAsia" w:ascii="宋体" w:hAnsi="宋体" w:eastAsia="宋体"/>
                <w:color w:val="000000"/>
                <w:sz w:val="20"/>
                <w:szCs w:val="20"/>
              </w:rPr>
              <w:t>1</w:t>
            </w:r>
          </w:p>
        </w:tc>
      </w:tr>
      <w:tr w14:paraId="26A60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1" w:hRule="atLeast"/>
          <w:jc w:val="center"/>
        </w:trPr>
        <w:tc>
          <w:tcPr>
            <w:tcW w:w="664" w:type="dxa"/>
            <w:vAlign w:val="center"/>
          </w:tcPr>
          <w:p w14:paraId="72F2F882">
            <w:pPr>
              <w:jc w:val="center"/>
              <w:rPr>
                <w:rFonts w:ascii="宋体" w:hAnsi="宋体" w:eastAsia="宋体"/>
                <w:sz w:val="20"/>
                <w:szCs w:val="20"/>
              </w:rPr>
            </w:pPr>
            <w:r>
              <w:rPr>
                <w:rFonts w:hint="eastAsia" w:ascii="宋体" w:hAnsi="宋体" w:eastAsia="宋体"/>
                <w:sz w:val="20"/>
                <w:szCs w:val="20"/>
              </w:rPr>
              <w:t>4</w:t>
            </w:r>
          </w:p>
        </w:tc>
        <w:tc>
          <w:tcPr>
            <w:tcW w:w="1550" w:type="dxa"/>
            <w:shd w:val="clear" w:color="auto" w:fill="auto"/>
            <w:noWrap/>
            <w:vAlign w:val="center"/>
          </w:tcPr>
          <w:p w14:paraId="63FB4E72">
            <w:pPr>
              <w:jc w:val="center"/>
              <w:rPr>
                <w:rFonts w:ascii="宋体" w:hAnsi="宋体" w:eastAsia="宋体"/>
                <w:sz w:val="20"/>
                <w:szCs w:val="20"/>
              </w:rPr>
            </w:pPr>
            <w:r>
              <w:rPr>
                <w:rFonts w:hint="eastAsia" w:ascii="宋体" w:hAnsi="宋体" w:eastAsia="宋体"/>
                <w:sz w:val="20"/>
                <w:szCs w:val="20"/>
              </w:rPr>
              <w:t>双杠保护垫</w:t>
            </w:r>
          </w:p>
        </w:tc>
        <w:tc>
          <w:tcPr>
            <w:tcW w:w="7200" w:type="dxa"/>
            <w:shd w:val="clear" w:color="auto" w:fill="auto"/>
            <w:noWrap/>
            <w:vAlign w:val="center"/>
          </w:tcPr>
          <w:p w14:paraId="1D6C4DDE">
            <w:pPr>
              <w:widowControl/>
              <w:jc w:val="left"/>
              <w:rPr>
                <w:rFonts w:ascii="宋体" w:hAnsi="宋体" w:eastAsia="宋体" w:cs="宋体"/>
                <w:kern w:val="0"/>
                <w:sz w:val="20"/>
                <w:szCs w:val="20"/>
              </w:rPr>
            </w:pPr>
            <w:r>
              <w:rPr>
                <w:rFonts w:ascii="宋体" w:hAnsi="宋体" w:eastAsia="宋体" w:cs="宋体"/>
                <w:kern w:val="0"/>
                <w:sz w:val="20"/>
                <w:szCs w:val="20"/>
              </w:rPr>
              <w:t>1、专用垫总厚度为200mm，由上下两层不同密度的材料组合而成，弹性舒适；</w:t>
            </w:r>
          </w:p>
          <w:p w14:paraId="42620F4A">
            <w:pPr>
              <w:widowControl/>
              <w:jc w:val="left"/>
              <w:rPr>
                <w:rFonts w:ascii="宋体" w:hAnsi="宋体" w:eastAsia="宋体" w:cs="宋体"/>
                <w:kern w:val="0"/>
                <w:sz w:val="20"/>
                <w:szCs w:val="20"/>
              </w:rPr>
            </w:pPr>
            <w:r>
              <w:rPr>
                <w:rFonts w:ascii="宋体" w:hAnsi="宋体" w:eastAsia="宋体" w:cs="宋体"/>
                <w:kern w:val="0"/>
                <w:sz w:val="20"/>
                <w:szCs w:val="20"/>
              </w:rPr>
              <w:t>2、垫子下层由十块垫子拼装组成，总尺寸：12米×6米。采用侧面缝刺毛毡连接，每块垫子四边各设气孔2个，均匀布置，左右对称缝提手各2个，与双杠底座接触部分切角或在下层挖空；</w:t>
            </w:r>
          </w:p>
          <w:p w14:paraId="4182300E">
            <w:pPr>
              <w:widowControl/>
              <w:jc w:val="left"/>
              <w:rPr>
                <w:rFonts w:ascii="宋体" w:hAnsi="宋体" w:eastAsia="宋体" w:cs="宋体"/>
                <w:kern w:val="0"/>
                <w:sz w:val="20"/>
                <w:szCs w:val="20"/>
              </w:rPr>
            </w:pPr>
            <w:r>
              <w:rPr>
                <w:rFonts w:ascii="宋体" w:hAnsi="宋体" w:eastAsia="宋体" w:cs="宋体"/>
                <w:kern w:val="0"/>
                <w:sz w:val="20"/>
                <w:szCs w:val="20"/>
              </w:rPr>
              <w:t>3、垫子上层外包蓝色PVC双面革，表面经防滑处理。</w:t>
            </w:r>
          </w:p>
          <w:p w14:paraId="52610FD5">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4．海绵:</w:t>
            </w:r>
          </w:p>
          <w:p w14:paraId="4FC43FA9">
            <w:pPr>
              <w:widowControl/>
              <w:jc w:val="left"/>
              <w:rPr>
                <w:rFonts w:ascii="宋体" w:hAnsi="宋体" w:eastAsia="宋体" w:cs="宋体"/>
                <w:kern w:val="0"/>
                <w:sz w:val="20"/>
                <w:szCs w:val="20"/>
              </w:rPr>
            </w:pPr>
            <w:r>
              <w:rPr>
                <w:rFonts w:ascii="宋体" w:hAnsi="宋体" w:eastAsia="宋体" w:cs="宋体"/>
                <w:kern w:val="0"/>
                <w:sz w:val="20"/>
                <w:szCs w:val="20"/>
              </w:rPr>
              <w:t>1）海绵密度≥45kg/m3</w:t>
            </w:r>
            <w:r>
              <w:rPr>
                <w:rFonts w:hint="eastAsia" w:ascii="宋体" w:hAnsi="宋体" w:eastAsia="宋体" w:cs="宋体"/>
                <w:kern w:val="0"/>
                <w:sz w:val="20"/>
                <w:szCs w:val="20"/>
              </w:rPr>
              <w:t>，</w:t>
            </w:r>
            <w:r>
              <w:rPr>
                <w:rFonts w:ascii="宋体" w:hAnsi="宋体" w:eastAsia="宋体" w:cs="宋体"/>
                <w:kern w:val="0"/>
                <w:sz w:val="20"/>
                <w:szCs w:val="20"/>
              </w:rPr>
              <w:t>检测方法:参照 GB/T 6343-2009《泡沫塑料及橡胶 表观密度的测定》。</w:t>
            </w:r>
          </w:p>
          <w:p w14:paraId="1EAFBFB0">
            <w:pPr>
              <w:widowControl/>
              <w:jc w:val="left"/>
              <w:rPr>
                <w:rFonts w:ascii="宋体" w:hAnsi="宋体" w:eastAsia="宋体" w:cs="宋体"/>
                <w:kern w:val="0"/>
                <w:sz w:val="20"/>
                <w:szCs w:val="20"/>
              </w:rPr>
            </w:pPr>
            <w:r>
              <w:rPr>
                <w:rFonts w:ascii="宋体" w:hAnsi="宋体" w:eastAsia="宋体" w:cs="宋体"/>
                <w:kern w:val="0"/>
                <w:sz w:val="20"/>
                <w:szCs w:val="20"/>
              </w:rPr>
              <w:t>2）海绵回弹率≥45%，检测方法:参照 GB/T 6670-2008《软质泡沫聚合材料 落球法回弹性能的测定》</w:t>
            </w:r>
            <w:r>
              <w:rPr>
                <w:rFonts w:hint="eastAsia" w:ascii="宋体" w:hAnsi="宋体" w:eastAsia="宋体" w:cs="宋体"/>
                <w:kern w:val="0"/>
                <w:sz w:val="20"/>
                <w:szCs w:val="20"/>
              </w:rPr>
              <w:t>，方法A。</w:t>
            </w:r>
          </w:p>
          <w:p w14:paraId="17EFD127">
            <w:pPr>
              <w:widowControl/>
              <w:jc w:val="left"/>
              <w:rPr>
                <w:rFonts w:ascii="宋体" w:hAnsi="宋体" w:eastAsia="宋体" w:cs="宋体"/>
                <w:kern w:val="0"/>
                <w:sz w:val="20"/>
                <w:szCs w:val="20"/>
              </w:rPr>
            </w:pPr>
            <w:r>
              <w:rPr>
                <w:rFonts w:ascii="宋体" w:hAnsi="宋体" w:eastAsia="宋体" w:cs="宋体"/>
                <w:kern w:val="0"/>
                <w:sz w:val="20"/>
                <w:szCs w:val="20"/>
              </w:rPr>
              <w:t>3）压缩永久变形</w:t>
            </w:r>
            <w:r>
              <w:rPr>
                <w:rFonts w:hint="eastAsia" w:ascii="宋体" w:hAnsi="宋体" w:eastAsia="宋体" w:cs="宋体"/>
                <w:kern w:val="0"/>
                <w:sz w:val="20"/>
                <w:szCs w:val="20"/>
              </w:rPr>
              <w:t>≤</w:t>
            </w:r>
            <w:r>
              <w:rPr>
                <w:rFonts w:ascii="宋体" w:hAnsi="宋体" w:eastAsia="宋体" w:cs="宋体"/>
                <w:kern w:val="0"/>
                <w:sz w:val="20"/>
                <w:szCs w:val="20"/>
              </w:rPr>
              <w:t>4%，检测方法:参照 GBT 6669-2008《软质泡沫聚合材料 压缩永久变形的测定》。</w:t>
            </w:r>
          </w:p>
          <w:p w14:paraId="7DCCB32C">
            <w:pPr>
              <w:widowControl/>
              <w:jc w:val="left"/>
              <w:rPr>
                <w:rFonts w:ascii="宋体" w:hAnsi="宋体" w:eastAsia="宋体" w:cs="宋体"/>
                <w:kern w:val="0"/>
                <w:sz w:val="20"/>
                <w:szCs w:val="20"/>
              </w:rPr>
            </w:pPr>
            <w:r>
              <w:rPr>
                <w:rFonts w:ascii="宋体" w:hAnsi="宋体" w:eastAsia="宋体" w:cs="宋体"/>
                <w:kern w:val="0"/>
                <w:sz w:val="20"/>
                <w:szCs w:val="20"/>
              </w:rPr>
              <w:t>4）海绵阻燃符合：EN1021-1:2014(阴燃烟卷)不可燃。EN1021-2:2014(匹配相等的火焰)不可燃。大气条件23±2°c和50±5%相对湿度，至少24小时。</w:t>
            </w:r>
          </w:p>
          <w:p w14:paraId="581335C4">
            <w:pPr>
              <w:widowControl/>
              <w:jc w:val="left"/>
              <w:rPr>
                <w:rFonts w:ascii="宋体" w:hAnsi="宋体" w:eastAsia="宋体" w:cs="宋体"/>
                <w:b/>
                <w:kern w:val="0"/>
                <w:sz w:val="20"/>
                <w:szCs w:val="20"/>
              </w:rPr>
            </w:pPr>
            <w:r>
              <w:rPr>
                <w:rFonts w:hint="eastAsia" w:ascii="宋体" w:hAnsi="宋体" w:eastAsia="宋体" w:cs="宋体"/>
                <w:b/>
                <w:kern w:val="0"/>
                <w:sz w:val="20"/>
                <w:szCs w:val="20"/>
              </w:rPr>
              <w:t>参考图片：</w:t>
            </w:r>
          </w:p>
          <w:p w14:paraId="1D3C832B">
            <w:pPr>
              <w:widowControl/>
              <w:jc w:val="left"/>
              <w:rPr>
                <w:rFonts w:ascii="宋体" w:hAnsi="宋体" w:eastAsia="宋体" w:cs="宋体"/>
                <w:kern w:val="0"/>
                <w:sz w:val="20"/>
                <w:szCs w:val="20"/>
              </w:rPr>
            </w:pPr>
            <w:r>
              <w:rPr>
                <w:sz w:val="20"/>
                <w:szCs w:val="20"/>
              </w:rPr>
              <w:drawing>
                <wp:inline distT="0" distB="0" distL="0" distR="0">
                  <wp:extent cx="2743200" cy="1562100"/>
                  <wp:effectExtent l="0" t="0" r="0" b="0"/>
                  <wp:docPr id="2" name="图片 172" descr="双杠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72" descr="双杠垫"/>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743200" cy="1562400"/>
                          </a:xfrm>
                          <a:prstGeom prst="rect">
                            <a:avLst/>
                          </a:prstGeom>
                          <a:noFill/>
                          <a:ln>
                            <a:noFill/>
                          </a:ln>
                        </pic:spPr>
                      </pic:pic>
                    </a:graphicData>
                  </a:graphic>
                </wp:inline>
              </w:drawing>
            </w:r>
          </w:p>
        </w:tc>
        <w:tc>
          <w:tcPr>
            <w:tcW w:w="683" w:type="dxa"/>
            <w:shd w:val="clear" w:color="auto" w:fill="auto"/>
            <w:noWrap/>
            <w:vAlign w:val="center"/>
          </w:tcPr>
          <w:p w14:paraId="0CA21627">
            <w:pPr>
              <w:jc w:val="center"/>
              <w:rPr>
                <w:rFonts w:ascii="宋体" w:hAnsi="宋体" w:eastAsia="宋体"/>
                <w:color w:val="000000"/>
                <w:sz w:val="20"/>
                <w:szCs w:val="20"/>
              </w:rPr>
            </w:pPr>
            <w:r>
              <w:rPr>
                <w:rFonts w:hint="eastAsia" w:ascii="宋体" w:hAnsi="宋体" w:eastAsia="宋体"/>
                <w:color w:val="000000"/>
                <w:sz w:val="20"/>
                <w:szCs w:val="20"/>
              </w:rPr>
              <w:t>套</w:t>
            </w:r>
          </w:p>
        </w:tc>
        <w:tc>
          <w:tcPr>
            <w:tcW w:w="681" w:type="dxa"/>
            <w:shd w:val="clear" w:color="auto" w:fill="auto"/>
            <w:noWrap/>
            <w:vAlign w:val="center"/>
          </w:tcPr>
          <w:p w14:paraId="442A168E">
            <w:pPr>
              <w:jc w:val="center"/>
              <w:rPr>
                <w:rFonts w:ascii="宋体" w:hAnsi="宋体" w:eastAsia="宋体"/>
                <w:color w:val="000000"/>
                <w:sz w:val="20"/>
                <w:szCs w:val="20"/>
              </w:rPr>
            </w:pPr>
            <w:r>
              <w:rPr>
                <w:rFonts w:hint="eastAsia" w:ascii="宋体" w:hAnsi="宋体" w:eastAsia="宋体"/>
                <w:color w:val="000000"/>
                <w:sz w:val="20"/>
                <w:szCs w:val="20"/>
              </w:rPr>
              <w:t>1</w:t>
            </w:r>
          </w:p>
        </w:tc>
      </w:tr>
      <w:tr w14:paraId="5C6CD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3" w:hRule="atLeast"/>
          <w:jc w:val="center"/>
        </w:trPr>
        <w:tc>
          <w:tcPr>
            <w:tcW w:w="664" w:type="dxa"/>
            <w:vAlign w:val="center"/>
          </w:tcPr>
          <w:p w14:paraId="18EB1563">
            <w:pPr>
              <w:jc w:val="center"/>
              <w:rPr>
                <w:rFonts w:ascii="宋体" w:hAnsi="宋体" w:eastAsia="宋体"/>
                <w:sz w:val="20"/>
                <w:szCs w:val="20"/>
              </w:rPr>
            </w:pPr>
            <w:r>
              <w:rPr>
                <w:rFonts w:hint="eastAsia" w:ascii="宋体" w:hAnsi="宋体" w:eastAsia="宋体"/>
                <w:sz w:val="20"/>
                <w:szCs w:val="20"/>
              </w:rPr>
              <w:t>5</w:t>
            </w:r>
          </w:p>
        </w:tc>
        <w:tc>
          <w:tcPr>
            <w:tcW w:w="1550" w:type="dxa"/>
            <w:shd w:val="clear" w:color="auto" w:fill="auto"/>
            <w:noWrap/>
            <w:vAlign w:val="center"/>
          </w:tcPr>
          <w:p w14:paraId="0FE52D2F">
            <w:pPr>
              <w:jc w:val="center"/>
              <w:rPr>
                <w:rFonts w:ascii="宋体" w:hAnsi="宋体" w:eastAsia="宋体"/>
                <w:sz w:val="20"/>
                <w:szCs w:val="20"/>
              </w:rPr>
            </w:pPr>
            <w:r>
              <w:rPr>
                <w:rFonts w:hint="eastAsia" w:ascii="宋体" w:hAnsi="宋体" w:eastAsia="宋体"/>
                <w:sz w:val="20"/>
                <w:szCs w:val="20"/>
              </w:rPr>
              <w:t>S助跳板</w:t>
            </w:r>
          </w:p>
        </w:tc>
        <w:tc>
          <w:tcPr>
            <w:tcW w:w="7200" w:type="dxa"/>
            <w:shd w:val="clear" w:color="auto" w:fill="auto"/>
            <w:noWrap/>
            <w:vAlign w:val="center"/>
          </w:tcPr>
          <w:p w14:paraId="0E0CE0A6">
            <w:pPr>
              <w:widowControl/>
              <w:jc w:val="left"/>
              <w:rPr>
                <w:rFonts w:ascii="宋体" w:hAnsi="宋体" w:eastAsia="宋体" w:cs="宋体"/>
                <w:kern w:val="0"/>
                <w:sz w:val="20"/>
                <w:szCs w:val="20"/>
              </w:rPr>
            </w:pPr>
            <w:r>
              <w:rPr>
                <w:rFonts w:ascii="宋体" w:hAnsi="宋体" w:eastAsia="宋体" w:cs="宋体"/>
                <w:kern w:val="0"/>
                <w:sz w:val="20"/>
                <w:szCs w:val="20"/>
              </w:rPr>
              <w:t>1、基本尺寸：长x宽x高=1200x600x200mm</w:t>
            </w:r>
          </w:p>
          <w:p w14:paraId="30015FBF">
            <w:pPr>
              <w:widowControl/>
              <w:jc w:val="left"/>
              <w:rPr>
                <w:rFonts w:ascii="宋体" w:hAnsi="宋体" w:eastAsia="宋体" w:cs="宋体"/>
                <w:kern w:val="0"/>
                <w:sz w:val="20"/>
                <w:szCs w:val="20"/>
              </w:rPr>
            </w:pPr>
            <w:r>
              <w:rPr>
                <w:rFonts w:ascii="宋体" w:hAnsi="宋体" w:eastAsia="宋体" w:cs="宋体"/>
                <w:kern w:val="0"/>
                <w:sz w:val="20"/>
                <w:szCs w:val="20"/>
              </w:rPr>
              <w:t>2、S助跳板主体结构分三层，上层为挠性曲面板，中层为弹性曲面板，底层为二块弧面板，面板经专用机械压制成型，曲线流畅，美观大方。</w:t>
            </w:r>
          </w:p>
          <w:p w14:paraId="4A641221">
            <w:pPr>
              <w:widowControl/>
              <w:jc w:val="left"/>
              <w:rPr>
                <w:rFonts w:ascii="宋体" w:hAnsi="宋体" w:eastAsia="宋体" w:cs="宋体"/>
                <w:kern w:val="0"/>
                <w:sz w:val="20"/>
                <w:szCs w:val="20"/>
              </w:rPr>
            </w:pPr>
            <w:r>
              <w:rPr>
                <w:rFonts w:ascii="宋体" w:hAnsi="宋体" w:eastAsia="宋体" w:cs="宋体"/>
                <w:kern w:val="0"/>
                <w:sz w:val="20"/>
                <w:szCs w:val="20"/>
              </w:rPr>
              <w:t>3、在跳板上板最高处中央施加6000牛顿的压力能将板下压85mm高度，取消外力后能恢复原位。</w:t>
            </w:r>
          </w:p>
          <w:p w14:paraId="2DF7E929">
            <w:pPr>
              <w:widowControl/>
              <w:jc w:val="left"/>
              <w:rPr>
                <w:rFonts w:ascii="宋体" w:hAnsi="宋体" w:eastAsia="宋体" w:cs="宋体"/>
                <w:kern w:val="0"/>
                <w:sz w:val="20"/>
                <w:szCs w:val="20"/>
              </w:rPr>
            </w:pPr>
            <w:r>
              <w:rPr>
                <w:rFonts w:ascii="宋体" w:hAnsi="宋体" w:eastAsia="宋体" w:cs="宋体"/>
                <w:kern w:val="0"/>
                <w:sz w:val="20"/>
                <w:szCs w:val="20"/>
              </w:rPr>
              <w:t>4、S助跳板上板表面覆有腈纶地毯，起防滑作用。</w:t>
            </w:r>
          </w:p>
          <w:p w14:paraId="627C490F">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5．层压板:</w:t>
            </w:r>
          </w:p>
          <w:p w14:paraId="0E93B2C1">
            <w:pPr>
              <w:widowControl/>
              <w:jc w:val="left"/>
              <w:rPr>
                <w:rFonts w:ascii="宋体" w:hAnsi="宋体" w:eastAsia="宋体" w:cs="宋体"/>
                <w:kern w:val="0"/>
                <w:sz w:val="20"/>
                <w:szCs w:val="20"/>
              </w:rPr>
            </w:pPr>
            <w:r>
              <w:rPr>
                <w:rFonts w:ascii="宋体" w:hAnsi="宋体" w:eastAsia="宋体" w:cs="宋体"/>
                <w:kern w:val="0"/>
                <w:sz w:val="20"/>
                <w:szCs w:val="20"/>
              </w:rPr>
              <w:t>1）层压板阻燃符合：GB8624-2012《建筑材料及制品燃烧性能</w:t>
            </w:r>
            <w:r>
              <w:rPr>
                <w:rFonts w:hint="eastAsia" w:ascii="宋体" w:hAnsi="宋体" w:eastAsia="宋体" w:cs="宋体"/>
                <w:kern w:val="0"/>
                <w:sz w:val="20"/>
                <w:szCs w:val="20"/>
              </w:rPr>
              <w:t>分级</w:t>
            </w:r>
            <w:r>
              <w:rPr>
                <w:rFonts w:ascii="宋体" w:hAnsi="宋体" w:eastAsia="宋体" w:cs="宋体"/>
                <w:kern w:val="0"/>
                <w:sz w:val="20"/>
                <w:szCs w:val="20"/>
              </w:rPr>
              <w:t>》测试结果B1级要求。GB/T8626-2007《建筑材料可燃性试验方法》60s过滤纸没有被引燃。GB/T20284-2006《建筑材料或制品的单体燃烧试验》600s内燃烧无滴落物/颗粒。</w:t>
            </w:r>
          </w:p>
          <w:p w14:paraId="579CCAC1">
            <w:pPr>
              <w:widowControl/>
              <w:jc w:val="left"/>
              <w:rPr>
                <w:rFonts w:ascii="宋体" w:hAnsi="宋体" w:eastAsia="宋体" w:cs="宋体"/>
                <w:kern w:val="0"/>
                <w:sz w:val="20"/>
                <w:szCs w:val="20"/>
              </w:rPr>
            </w:pPr>
            <w:r>
              <w:rPr>
                <w:rFonts w:ascii="宋体" w:hAnsi="宋体" w:eastAsia="宋体" w:cs="宋体"/>
                <w:kern w:val="0"/>
                <w:sz w:val="20"/>
                <w:szCs w:val="20"/>
              </w:rPr>
              <w:t>2）层压板甲醛释放限量≤1.5mg/L，符合 GB 18584-2001《室内装饰装修材料 木家具中有害物质限量》规范要求。</w:t>
            </w:r>
          </w:p>
        </w:tc>
        <w:tc>
          <w:tcPr>
            <w:tcW w:w="683" w:type="dxa"/>
            <w:shd w:val="clear" w:color="auto" w:fill="auto"/>
            <w:noWrap/>
            <w:vAlign w:val="center"/>
          </w:tcPr>
          <w:p w14:paraId="6F051ADD">
            <w:pPr>
              <w:jc w:val="center"/>
              <w:rPr>
                <w:rFonts w:ascii="宋体" w:hAnsi="宋体" w:eastAsia="宋体"/>
                <w:color w:val="000000"/>
                <w:sz w:val="20"/>
                <w:szCs w:val="20"/>
              </w:rPr>
            </w:pPr>
            <w:r>
              <w:rPr>
                <w:rFonts w:hint="eastAsia" w:ascii="宋体" w:hAnsi="宋体" w:eastAsia="宋体"/>
                <w:color w:val="000000"/>
                <w:sz w:val="20"/>
                <w:szCs w:val="20"/>
              </w:rPr>
              <w:t>件</w:t>
            </w:r>
          </w:p>
        </w:tc>
        <w:tc>
          <w:tcPr>
            <w:tcW w:w="681" w:type="dxa"/>
            <w:shd w:val="clear" w:color="auto" w:fill="auto"/>
            <w:noWrap/>
            <w:vAlign w:val="center"/>
          </w:tcPr>
          <w:p w14:paraId="5A08C473">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0DF8E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4" w:hRule="atLeast"/>
          <w:jc w:val="center"/>
        </w:trPr>
        <w:tc>
          <w:tcPr>
            <w:tcW w:w="664" w:type="dxa"/>
            <w:vAlign w:val="center"/>
          </w:tcPr>
          <w:p w14:paraId="56E84FBF">
            <w:pPr>
              <w:jc w:val="center"/>
              <w:rPr>
                <w:rFonts w:ascii="宋体" w:hAnsi="宋体" w:eastAsia="宋体"/>
                <w:sz w:val="20"/>
                <w:szCs w:val="20"/>
              </w:rPr>
            </w:pPr>
            <w:r>
              <w:rPr>
                <w:rFonts w:hint="eastAsia" w:ascii="宋体" w:hAnsi="宋体" w:eastAsia="宋体"/>
                <w:sz w:val="20"/>
                <w:szCs w:val="20"/>
              </w:rPr>
              <w:t>6</w:t>
            </w:r>
          </w:p>
        </w:tc>
        <w:tc>
          <w:tcPr>
            <w:tcW w:w="1550" w:type="dxa"/>
            <w:shd w:val="clear" w:color="auto" w:fill="auto"/>
            <w:noWrap/>
            <w:vAlign w:val="center"/>
          </w:tcPr>
          <w:p w14:paraId="46366B8C">
            <w:pPr>
              <w:jc w:val="center"/>
              <w:rPr>
                <w:rFonts w:ascii="宋体" w:hAnsi="宋体" w:eastAsia="宋体"/>
                <w:sz w:val="20"/>
                <w:szCs w:val="20"/>
              </w:rPr>
            </w:pPr>
            <w:r>
              <w:rPr>
                <w:rFonts w:hint="eastAsia" w:ascii="宋体" w:hAnsi="宋体" w:eastAsia="宋体"/>
                <w:sz w:val="20"/>
                <w:szCs w:val="20"/>
              </w:rPr>
              <w:t>山羊</w:t>
            </w:r>
          </w:p>
        </w:tc>
        <w:tc>
          <w:tcPr>
            <w:tcW w:w="7200" w:type="dxa"/>
            <w:shd w:val="clear" w:color="auto" w:fill="auto"/>
            <w:noWrap/>
            <w:vAlign w:val="center"/>
          </w:tcPr>
          <w:p w14:paraId="7D3F2EBB">
            <w:pPr>
              <w:widowControl/>
              <w:jc w:val="left"/>
              <w:rPr>
                <w:rFonts w:ascii="宋体" w:hAnsi="宋体" w:eastAsia="宋体" w:cs="宋体"/>
                <w:kern w:val="0"/>
                <w:sz w:val="20"/>
                <w:szCs w:val="20"/>
              </w:rPr>
            </w:pPr>
            <w:r>
              <w:rPr>
                <w:rFonts w:ascii="宋体" w:hAnsi="宋体" w:eastAsia="宋体" w:cs="宋体"/>
                <w:kern w:val="0"/>
                <w:sz w:val="20"/>
                <w:szCs w:val="20"/>
              </w:rPr>
              <w:t>1、山羊由箱体和四脚构成，高度可调范围：1000-1300mm。</w:t>
            </w:r>
          </w:p>
          <w:p w14:paraId="5878DD23">
            <w:pPr>
              <w:widowControl/>
              <w:jc w:val="left"/>
              <w:rPr>
                <w:rFonts w:ascii="宋体" w:hAnsi="宋体" w:eastAsia="宋体" w:cs="宋体"/>
                <w:kern w:val="0"/>
                <w:sz w:val="20"/>
                <w:szCs w:val="20"/>
              </w:rPr>
            </w:pPr>
            <w:r>
              <w:rPr>
                <w:rFonts w:ascii="宋体" w:hAnsi="宋体" w:eastAsia="宋体" w:cs="宋体"/>
                <w:kern w:val="0"/>
                <w:sz w:val="20"/>
                <w:szCs w:val="20"/>
              </w:rPr>
              <w:t>2、箱体规格：长X宽X高=550x360x330（mm），箱体表面用重体压缩海绵填充，外包优质人造革。</w:t>
            </w:r>
          </w:p>
          <w:p w14:paraId="5A993BEB">
            <w:pPr>
              <w:widowControl/>
              <w:jc w:val="left"/>
              <w:rPr>
                <w:rFonts w:ascii="宋体" w:hAnsi="宋体" w:eastAsia="宋体" w:cs="宋体"/>
                <w:kern w:val="0"/>
                <w:sz w:val="20"/>
                <w:szCs w:val="20"/>
              </w:rPr>
            </w:pPr>
            <w:r>
              <w:rPr>
                <w:rFonts w:ascii="宋体" w:hAnsi="宋体" w:eastAsia="宋体" w:cs="宋体"/>
                <w:kern w:val="0"/>
                <w:sz w:val="20"/>
                <w:szCs w:val="20"/>
              </w:rPr>
              <w:t>3、四脚由外脚管、固定管、活动管和羊脚组成，外脚管与箱体连接焊接，焊接夹角为60度，固定管采用φ57x3mm优质钢管，用M8锁紧螺栓与外脚管连接,活动管采用φ48x3mm的优质钢管,羊脚为铸铁,活动管上钻有调节孔,固定管上设有调节机构,通过调节螺栓可调节山羊高度，调节间距：50mm。</w:t>
            </w:r>
          </w:p>
        </w:tc>
        <w:tc>
          <w:tcPr>
            <w:tcW w:w="683" w:type="dxa"/>
            <w:shd w:val="clear" w:color="auto" w:fill="auto"/>
            <w:noWrap/>
            <w:vAlign w:val="center"/>
          </w:tcPr>
          <w:p w14:paraId="3D854AA2">
            <w:pPr>
              <w:jc w:val="center"/>
              <w:rPr>
                <w:rFonts w:ascii="宋体" w:hAnsi="宋体" w:eastAsia="宋体"/>
                <w:color w:val="000000"/>
                <w:sz w:val="20"/>
                <w:szCs w:val="20"/>
              </w:rPr>
            </w:pPr>
            <w:r>
              <w:rPr>
                <w:rFonts w:hint="eastAsia" w:ascii="宋体" w:hAnsi="宋体" w:eastAsia="宋体"/>
                <w:color w:val="000000"/>
                <w:sz w:val="20"/>
                <w:szCs w:val="20"/>
              </w:rPr>
              <w:t>只</w:t>
            </w:r>
          </w:p>
        </w:tc>
        <w:tc>
          <w:tcPr>
            <w:tcW w:w="681" w:type="dxa"/>
            <w:shd w:val="clear" w:color="auto" w:fill="auto"/>
            <w:noWrap/>
            <w:vAlign w:val="center"/>
          </w:tcPr>
          <w:p w14:paraId="2BCF7B3A">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4F261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3" w:hRule="atLeast"/>
          <w:jc w:val="center"/>
        </w:trPr>
        <w:tc>
          <w:tcPr>
            <w:tcW w:w="664" w:type="dxa"/>
            <w:vAlign w:val="center"/>
          </w:tcPr>
          <w:p w14:paraId="4B2D9413">
            <w:pPr>
              <w:jc w:val="center"/>
              <w:rPr>
                <w:rFonts w:ascii="宋体" w:hAnsi="宋体" w:eastAsia="宋体"/>
                <w:sz w:val="20"/>
                <w:szCs w:val="20"/>
              </w:rPr>
            </w:pPr>
            <w:r>
              <w:rPr>
                <w:rFonts w:hint="eastAsia" w:ascii="宋体" w:hAnsi="宋体" w:eastAsia="宋体"/>
                <w:sz w:val="20"/>
                <w:szCs w:val="20"/>
              </w:rPr>
              <w:t>7</w:t>
            </w:r>
          </w:p>
        </w:tc>
        <w:tc>
          <w:tcPr>
            <w:tcW w:w="1550" w:type="dxa"/>
            <w:shd w:val="clear" w:color="auto" w:fill="auto"/>
            <w:noWrap/>
            <w:vAlign w:val="center"/>
          </w:tcPr>
          <w:p w14:paraId="0B0E48E8">
            <w:pPr>
              <w:jc w:val="center"/>
              <w:rPr>
                <w:rFonts w:ascii="宋体" w:hAnsi="宋体" w:eastAsia="宋体"/>
                <w:sz w:val="20"/>
                <w:szCs w:val="20"/>
              </w:rPr>
            </w:pPr>
            <w:r>
              <w:rPr>
                <w:rFonts w:hint="eastAsia" w:ascii="宋体" w:hAnsi="宋体" w:eastAsia="宋体"/>
                <w:sz w:val="20"/>
                <w:szCs w:val="20"/>
              </w:rPr>
              <w:t>双格肋木</w:t>
            </w:r>
          </w:p>
        </w:tc>
        <w:tc>
          <w:tcPr>
            <w:tcW w:w="7200" w:type="dxa"/>
            <w:shd w:val="clear" w:color="auto" w:fill="auto"/>
            <w:noWrap/>
            <w:vAlign w:val="center"/>
          </w:tcPr>
          <w:p w14:paraId="30546E52">
            <w:pPr>
              <w:widowControl/>
              <w:jc w:val="left"/>
              <w:rPr>
                <w:rFonts w:ascii="宋体" w:hAnsi="宋体" w:eastAsia="宋体" w:cs="宋体"/>
                <w:kern w:val="0"/>
                <w:sz w:val="20"/>
                <w:szCs w:val="20"/>
              </w:rPr>
            </w:pPr>
            <w:r>
              <w:rPr>
                <w:rFonts w:ascii="宋体" w:hAnsi="宋体" w:eastAsia="宋体" w:cs="宋体"/>
                <w:kern w:val="0"/>
                <w:sz w:val="20"/>
                <w:szCs w:val="20"/>
              </w:rPr>
              <w:t>1.肋木基本尺寸：长x高=2170x2750（mm）；</w:t>
            </w:r>
          </w:p>
          <w:p w14:paraId="34439EF8">
            <w:pPr>
              <w:widowControl/>
              <w:jc w:val="left"/>
              <w:rPr>
                <w:rFonts w:ascii="宋体" w:hAnsi="宋体" w:eastAsia="宋体" w:cs="宋体"/>
                <w:kern w:val="0"/>
                <w:sz w:val="20"/>
                <w:szCs w:val="20"/>
              </w:rPr>
            </w:pPr>
            <w:r>
              <w:rPr>
                <w:rFonts w:ascii="宋体" w:hAnsi="宋体" w:eastAsia="宋体" w:cs="宋体"/>
                <w:kern w:val="0"/>
                <w:sz w:val="20"/>
                <w:szCs w:val="20"/>
              </w:rPr>
              <w:t>2.肋木由3根立柱，1根横梁和12根横杆组成，立柱和横梁采用 优质水曲柳，通过特制M10mm螺栓连接，横杆采用Φ38mm水曲柳杠面，三根立柱两根侧立柱打单边孔，一根中立柱打双边通孔，</w:t>
            </w:r>
            <w:r>
              <w:rPr>
                <w:rFonts w:hint="eastAsia" w:ascii="宋体" w:hAnsi="宋体" w:eastAsia="宋体" w:cs="宋体"/>
                <w:kern w:val="0"/>
                <w:sz w:val="20"/>
                <w:szCs w:val="20"/>
              </w:rPr>
              <w:t>立柱采用</w:t>
            </w:r>
            <w:r>
              <w:rPr>
                <w:rFonts w:ascii="宋体" w:hAnsi="宋体" w:eastAsia="宋体" w:cs="宋体"/>
                <w:kern w:val="0"/>
                <w:sz w:val="20"/>
                <w:szCs w:val="20"/>
              </w:rPr>
              <w:t>95X42mm优质水曲柳，通过专用连接板膨胀螺栓与墙体连接</w:t>
            </w:r>
          </w:p>
        </w:tc>
        <w:tc>
          <w:tcPr>
            <w:tcW w:w="683" w:type="dxa"/>
            <w:shd w:val="clear" w:color="auto" w:fill="auto"/>
            <w:noWrap/>
            <w:vAlign w:val="center"/>
          </w:tcPr>
          <w:p w14:paraId="7CCFF7C6">
            <w:pPr>
              <w:jc w:val="center"/>
              <w:rPr>
                <w:rFonts w:ascii="宋体" w:hAnsi="宋体" w:eastAsia="宋体"/>
                <w:color w:val="000000"/>
                <w:sz w:val="20"/>
                <w:szCs w:val="20"/>
              </w:rPr>
            </w:pPr>
            <w:r>
              <w:rPr>
                <w:rFonts w:hint="eastAsia" w:ascii="宋体" w:hAnsi="宋体" w:eastAsia="宋体"/>
                <w:color w:val="000000"/>
                <w:sz w:val="20"/>
                <w:szCs w:val="20"/>
              </w:rPr>
              <w:t>付</w:t>
            </w:r>
          </w:p>
        </w:tc>
        <w:tc>
          <w:tcPr>
            <w:tcW w:w="681" w:type="dxa"/>
            <w:shd w:val="clear" w:color="auto" w:fill="auto"/>
            <w:noWrap/>
            <w:vAlign w:val="center"/>
          </w:tcPr>
          <w:p w14:paraId="0F353498">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2BE87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664" w:type="dxa"/>
            <w:vAlign w:val="center"/>
          </w:tcPr>
          <w:p w14:paraId="637F3011">
            <w:pPr>
              <w:jc w:val="center"/>
              <w:rPr>
                <w:rFonts w:ascii="宋体" w:hAnsi="宋体" w:eastAsia="宋体"/>
                <w:sz w:val="20"/>
                <w:szCs w:val="20"/>
              </w:rPr>
            </w:pPr>
            <w:r>
              <w:rPr>
                <w:rFonts w:hint="eastAsia" w:ascii="宋体" w:hAnsi="宋体" w:eastAsia="宋体"/>
                <w:sz w:val="20"/>
                <w:szCs w:val="20"/>
              </w:rPr>
              <w:t>8</w:t>
            </w:r>
          </w:p>
        </w:tc>
        <w:tc>
          <w:tcPr>
            <w:tcW w:w="1550" w:type="dxa"/>
            <w:shd w:val="clear" w:color="auto" w:fill="auto"/>
            <w:noWrap/>
            <w:vAlign w:val="center"/>
          </w:tcPr>
          <w:p w14:paraId="74696CCF">
            <w:pPr>
              <w:jc w:val="center"/>
              <w:rPr>
                <w:rFonts w:ascii="宋体" w:hAnsi="宋体" w:eastAsia="宋体"/>
                <w:sz w:val="20"/>
                <w:szCs w:val="20"/>
              </w:rPr>
            </w:pPr>
            <w:r>
              <w:rPr>
                <w:rFonts w:hint="eastAsia" w:ascii="宋体" w:hAnsi="宋体" w:eastAsia="宋体"/>
                <w:sz w:val="20"/>
                <w:szCs w:val="20"/>
              </w:rPr>
              <w:t>双杠倒立架</w:t>
            </w:r>
          </w:p>
        </w:tc>
        <w:tc>
          <w:tcPr>
            <w:tcW w:w="7200" w:type="dxa"/>
            <w:shd w:val="clear" w:color="auto" w:fill="auto"/>
            <w:noWrap/>
            <w:vAlign w:val="center"/>
          </w:tcPr>
          <w:p w14:paraId="21B1343A">
            <w:pPr>
              <w:widowControl/>
              <w:jc w:val="left"/>
              <w:rPr>
                <w:rFonts w:ascii="宋体" w:hAnsi="宋体" w:eastAsia="宋体" w:cs="宋体"/>
                <w:kern w:val="0"/>
                <w:sz w:val="20"/>
                <w:szCs w:val="20"/>
              </w:rPr>
            </w:pPr>
            <w:r>
              <w:rPr>
                <w:rFonts w:ascii="宋体" w:hAnsi="宋体" w:eastAsia="宋体" w:cs="宋体"/>
                <w:kern w:val="0"/>
                <w:sz w:val="20"/>
                <w:szCs w:val="20"/>
              </w:rPr>
              <w:t>A级别榉木，表面光滑，色泽柔润；超强承重600斤，结实耐用；底部螺丝固定，底部增加防护垫；接口处机械冲压工艺无缝衔接。整体长30cm，宽14cm，高11cm，4cm手把直径。</w:t>
            </w:r>
          </w:p>
        </w:tc>
        <w:tc>
          <w:tcPr>
            <w:tcW w:w="683" w:type="dxa"/>
            <w:shd w:val="clear" w:color="auto" w:fill="auto"/>
            <w:noWrap/>
            <w:vAlign w:val="center"/>
          </w:tcPr>
          <w:p w14:paraId="3913C6BA">
            <w:pPr>
              <w:jc w:val="center"/>
              <w:rPr>
                <w:rFonts w:ascii="宋体" w:hAnsi="宋体" w:eastAsia="宋体"/>
                <w:color w:val="000000"/>
                <w:sz w:val="20"/>
                <w:szCs w:val="20"/>
              </w:rPr>
            </w:pPr>
            <w:r>
              <w:rPr>
                <w:rFonts w:hint="eastAsia" w:ascii="宋体" w:hAnsi="宋体" w:eastAsia="宋体"/>
                <w:color w:val="000000"/>
                <w:sz w:val="20"/>
                <w:szCs w:val="20"/>
              </w:rPr>
              <w:t>付</w:t>
            </w:r>
          </w:p>
        </w:tc>
        <w:tc>
          <w:tcPr>
            <w:tcW w:w="681" w:type="dxa"/>
            <w:shd w:val="clear" w:color="auto" w:fill="auto"/>
            <w:noWrap/>
            <w:vAlign w:val="center"/>
          </w:tcPr>
          <w:p w14:paraId="43D64579">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2851B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664" w:type="dxa"/>
            <w:vAlign w:val="center"/>
          </w:tcPr>
          <w:p w14:paraId="36344589">
            <w:pPr>
              <w:jc w:val="center"/>
              <w:rPr>
                <w:rFonts w:ascii="宋体" w:hAnsi="宋体" w:eastAsia="宋体"/>
                <w:sz w:val="20"/>
                <w:szCs w:val="20"/>
              </w:rPr>
            </w:pPr>
            <w:r>
              <w:rPr>
                <w:rFonts w:hint="eastAsia" w:ascii="宋体" w:hAnsi="宋体" w:eastAsia="宋体"/>
                <w:sz w:val="20"/>
                <w:szCs w:val="20"/>
              </w:rPr>
              <w:t>9</w:t>
            </w:r>
          </w:p>
        </w:tc>
        <w:tc>
          <w:tcPr>
            <w:tcW w:w="1550" w:type="dxa"/>
            <w:shd w:val="clear" w:color="auto" w:fill="auto"/>
            <w:noWrap/>
            <w:vAlign w:val="center"/>
          </w:tcPr>
          <w:p w14:paraId="2C6D9F41">
            <w:pPr>
              <w:jc w:val="center"/>
              <w:rPr>
                <w:rFonts w:ascii="宋体" w:hAnsi="宋体" w:eastAsia="宋体"/>
                <w:sz w:val="20"/>
                <w:szCs w:val="20"/>
              </w:rPr>
            </w:pPr>
            <w:r>
              <w:rPr>
                <w:rFonts w:hint="eastAsia" w:ascii="宋体" w:hAnsi="宋体" w:eastAsia="宋体"/>
                <w:sz w:val="20"/>
                <w:szCs w:val="20"/>
              </w:rPr>
              <w:t>单杠倒立架</w:t>
            </w:r>
          </w:p>
        </w:tc>
        <w:tc>
          <w:tcPr>
            <w:tcW w:w="7200" w:type="dxa"/>
            <w:shd w:val="clear" w:color="auto" w:fill="auto"/>
            <w:noWrap/>
            <w:vAlign w:val="center"/>
          </w:tcPr>
          <w:p w14:paraId="3F007FC4">
            <w:pPr>
              <w:widowControl/>
              <w:jc w:val="left"/>
              <w:rPr>
                <w:rFonts w:ascii="宋体" w:hAnsi="宋体" w:eastAsia="宋体" w:cs="宋体"/>
                <w:kern w:val="0"/>
                <w:sz w:val="20"/>
                <w:szCs w:val="20"/>
              </w:rPr>
            </w:pPr>
            <w:r>
              <w:rPr>
                <w:rFonts w:ascii="宋体" w:hAnsi="宋体" w:eastAsia="宋体" w:cs="宋体"/>
                <w:kern w:val="0"/>
                <w:sz w:val="20"/>
                <w:szCs w:val="20"/>
              </w:rPr>
              <w:t>A级别榉木，表面光滑，色泽柔润；超强承重600斤，结实耐用；底部螺丝固定，底部增加防护垫；接口处机械冲压工艺无缝衔接。整体长90cm，宽14cm，高11cm，4cm手把直径。</w:t>
            </w:r>
          </w:p>
        </w:tc>
        <w:tc>
          <w:tcPr>
            <w:tcW w:w="683" w:type="dxa"/>
            <w:shd w:val="clear" w:color="auto" w:fill="auto"/>
            <w:noWrap/>
            <w:vAlign w:val="center"/>
          </w:tcPr>
          <w:p w14:paraId="02A7DAC6">
            <w:pPr>
              <w:jc w:val="center"/>
              <w:rPr>
                <w:rFonts w:ascii="宋体" w:hAnsi="宋体" w:eastAsia="宋体"/>
                <w:color w:val="000000"/>
                <w:sz w:val="20"/>
                <w:szCs w:val="20"/>
              </w:rPr>
            </w:pPr>
            <w:r>
              <w:rPr>
                <w:rFonts w:hint="eastAsia" w:ascii="宋体" w:hAnsi="宋体" w:eastAsia="宋体"/>
                <w:color w:val="000000"/>
                <w:sz w:val="20"/>
                <w:szCs w:val="20"/>
              </w:rPr>
              <w:t>付</w:t>
            </w:r>
          </w:p>
        </w:tc>
        <w:tc>
          <w:tcPr>
            <w:tcW w:w="681" w:type="dxa"/>
            <w:shd w:val="clear" w:color="auto" w:fill="auto"/>
            <w:noWrap/>
            <w:vAlign w:val="center"/>
          </w:tcPr>
          <w:p w14:paraId="6DEB94B3">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23B16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64" w:type="dxa"/>
            <w:vAlign w:val="center"/>
          </w:tcPr>
          <w:p w14:paraId="63F8507E">
            <w:pPr>
              <w:jc w:val="center"/>
              <w:rPr>
                <w:rFonts w:ascii="宋体" w:hAnsi="宋体" w:eastAsia="宋体"/>
                <w:sz w:val="20"/>
                <w:szCs w:val="20"/>
              </w:rPr>
            </w:pPr>
            <w:r>
              <w:rPr>
                <w:rFonts w:hint="eastAsia" w:ascii="宋体" w:hAnsi="宋体" w:eastAsia="宋体"/>
                <w:sz w:val="20"/>
                <w:szCs w:val="20"/>
              </w:rPr>
              <w:t>1</w:t>
            </w:r>
            <w:r>
              <w:rPr>
                <w:rFonts w:ascii="宋体" w:hAnsi="宋体" w:eastAsia="宋体"/>
                <w:sz w:val="20"/>
                <w:szCs w:val="20"/>
              </w:rPr>
              <w:t>0</w:t>
            </w:r>
          </w:p>
        </w:tc>
        <w:tc>
          <w:tcPr>
            <w:tcW w:w="1550" w:type="dxa"/>
            <w:shd w:val="clear" w:color="auto" w:fill="auto"/>
            <w:noWrap/>
            <w:vAlign w:val="center"/>
          </w:tcPr>
          <w:p w14:paraId="2DD458BB">
            <w:pPr>
              <w:jc w:val="center"/>
              <w:rPr>
                <w:rFonts w:ascii="宋体" w:hAnsi="宋体" w:eastAsia="宋体"/>
                <w:sz w:val="20"/>
                <w:szCs w:val="20"/>
              </w:rPr>
            </w:pPr>
            <w:r>
              <w:rPr>
                <w:rFonts w:hint="eastAsia" w:ascii="宋体" w:hAnsi="宋体" w:eastAsia="宋体"/>
                <w:sz w:val="20"/>
                <w:szCs w:val="20"/>
              </w:rPr>
              <w:t>镁粉盒</w:t>
            </w:r>
          </w:p>
        </w:tc>
        <w:tc>
          <w:tcPr>
            <w:tcW w:w="7200" w:type="dxa"/>
            <w:shd w:val="clear" w:color="auto" w:fill="auto"/>
            <w:noWrap/>
            <w:vAlign w:val="center"/>
          </w:tcPr>
          <w:p w14:paraId="3F801457">
            <w:pPr>
              <w:widowControl/>
              <w:jc w:val="left"/>
              <w:rPr>
                <w:rFonts w:ascii="宋体" w:hAnsi="宋体" w:eastAsia="宋体" w:cs="宋体"/>
                <w:kern w:val="0"/>
                <w:sz w:val="20"/>
                <w:szCs w:val="20"/>
              </w:rPr>
            </w:pPr>
            <w:r>
              <w:rPr>
                <w:rFonts w:hint="eastAsia" w:ascii="宋体" w:hAnsi="宋体" w:eastAsia="宋体" w:cs="宋体"/>
                <w:kern w:val="0"/>
                <w:sz w:val="20"/>
                <w:szCs w:val="20"/>
              </w:rPr>
              <w:t>不锈钢</w:t>
            </w:r>
            <w:r>
              <w:rPr>
                <w:rFonts w:hint="eastAsia" w:ascii="宋体" w:hAnsi="宋体" w:eastAsia="宋体"/>
                <w:sz w:val="20"/>
                <w:szCs w:val="20"/>
              </w:rPr>
              <w:t>镁粉盒，1</w:t>
            </w:r>
            <w:r>
              <w:rPr>
                <w:rFonts w:ascii="宋体" w:hAnsi="宋体" w:eastAsia="宋体"/>
                <w:sz w:val="20"/>
                <w:szCs w:val="20"/>
              </w:rPr>
              <w:t>00-120cm</w:t>
            </w:r>
            <w:r>
              <w:rPr>
                <w:rFonts w:hint="eastAsia" w:ascii="宋体" w:hAnsi="宋体" w:eastAsia="宋体"/>
                <w:sz w:val="20"/>
                <w:szCs w:val="20"/>
              </w:rPr>
              <w:t>高度可调，配重底座。</w:t>
            </w:r>
          </w:p>
        </w:tc>
        <w:tc>
          <w:tcPr>
            <w:tcW w:w="683" w:type="dxa"/>
            <w:shd w:val="clear" w:color="auto" w:fill="auto"/>
            <w:noWrap/>
            <w:vAlign w:val="center"/>
          </w:tcPr>
          <w:p w14:paraId="17919818">
            <w:pPr>
              <w:jc w:val="center"/>
              <w:rPr>
                <w:rFonts w:ascii="宋体" w:hAnsi="宋体" w:eastAsia="宋体"/>
                <w:color w:val="000000"/>
                <w:sz w:val="20"/>
                <w:szCs w:val="20"/>
              </w:rPr>
            </w:pPr>
            <w:r>
              <w:rPr>
                <w:rFonts w:hint="eastAsia" w:ascii="宋体" w:hAnsi="宋体" w:eastAsia="宋体"/>
                <w:color w:val="000000"/>
                <w:sz w:val="20"/>
                <w:szCs w:val="20"/>
              </w:rPr>
              <w:t>个</w:t>
            </w:r>
          </w:p>
        </w:tc>
        <w:tc>
          <w:tcPr>
            <w:tcW w:w="681" w:type="dxa"/>
            <w:shd w:val="clear" w:color="auto" w:fill="auto"/>
            <w:noWrap/>
            <w:vAlign w:val="center"/>
          </w:tcPr>
          <w:p w14:paraId="609706D0">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3C45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664" w:type="dxa"/>
            <w:vAlign w:val="center"/>
          </w:tcPr>
          <w:p w14:paraId="48A7107C">
            <w:pPr>
              <w:jc w:val="center"/>
              <w:rPr>
                <w:rFonts w:ascii="宋体" w:hAnsi="宋体" w:eastAsia="宋体"/>
                <w:sz w:val="20"/>
                <w:szCs w:val="20"/>
              </w:rPr>
            </w:pPr>
            <w:r>
              <w:rPr>
                <w:rFonts w:hint="eastAsia" w:ascii="宋体" w:hAnsi="宋体" w:eastAsia="宋体"/>
                <w:sz w:val="20"/>
                <w:szCs w:val="20"/>
              </w:rPr>
              <w:t>1</w:t>
            </w:r>
            <w:r>
              <w:rPr>
                <w:rFonts w:ascii="宋体" w:hAnsi="宋体" w:eastAsia="宋体"/>
                <w:sz w:val="20"/>
                <w:szCs w:val="20"/>
              </w:rPr>
              <w:t>1</w:t>
            </w:r>
          </w:p>
        </w:tc>
        <w:tc>
          <w:tcPr>
            <w:tcW w:w="1550" w:type="dxa"/>
            <w:shd w:val="clear" w:color="auto" w:fill="auto"/>
            <w:noWrap/>
            <w:vAlign w:val="center"/>
          </w:tcPr>
          <w:p w14:paraId="2EC4A7FF">
            <w:pPr>
              <w:jc w:val="center"/>
              <w:rPr>
                <w:rFonts w:ascii="宋体" w:hAnsi="宋体" w:eastAsia="宋体"/>
                <w:sz w:val="20"/>
                <w:szCs w:val="20"/>
              </w:rPr>
            </w:pPr>
            <w:r>
              <w:rPr>
                <w:rFonts w:hint="eastAsia" w:ascii="宋体" w:hAnsi="宋体" w:eastAsia="宋体"/>
                <w:sz w:val="20"/>
                <w:szCs w:val="20"/>
              </w:rPr>
              <w:t>防滑镁粉块</w:t>
            </w:r>
          </w:p>
        </w:tc>
        <w:tc>
          <w:tcPr>
            <w:tcW w:w="7200" w:type="dxa"/>
            <w:shd w:val="clear" w:color="auto" w:fill="auto"/>
            <w:noWrap/>
            <w:vAlign w:val="center"/>
          </w:tcPr>
          <w:p w14:paraId="14740E96">
            <w:pPr>
              <w:widowControl/>
              <w:jc w:val="left"/>
              <w:rPr>
                <w:rFonts w:ascii="宋体" w:hAnsi="宋体" w:eastAsia="宋体" w:cs="宋体"/>
                <w:kern w:val="0"/>
                <w:sz w:val="20"/>
                <w:szCs w:val="20"/>
              </w:rPr>
            </w:pPr>
            <w:r>
              <w:rPr>
                <w:rFonts w:hint="eastAsia" w:ascii="宋体" w:hAnsi="宋体" w:eastAsia="宋体" w:cs="宋体"/>
                <w:kern w:val="0"/>
                <w:sz w:val="20"/>
                <w:szCs w:val="20"/>
              </w:rPr>
              <w:t>防滑止汗，增加握力，</w:t>
            </w:r>
            <w:r>
              <w:rPr>
                <w:rFonts w:ascii="宋体" w:hAnsi="宋体" w:eastAsia="宋体" w:cs="宋体"/>
                <w:kern w:val="0"/>
                <w:sz w:val="20"/>
                <w:szCs w:val="20"/>
              </w:rPr>
              <w:t>56克/块，一箱36盒，每盒8块</w:t>
            </w:r>
          </w:p>
        </w:tc>
        <w:tc>
          <w:tcPr>
            <w:tcW w:w="683" w:type="dxa"/>
            <w:shd w:val="clear" w:color="auto" w:fill="auto"/>
            <w:noWrap/>
            <w:vAlign w:val="center"/>
          </w:tcPr>
          <w:p w14:paraId="40D900BF">
            <w:pPr>
              <w:jc w:val="center"/>
              <w:rPr>
                <w:rFonts w:ascii="宋体" w:hAnsi="宋体" w:eastAsia="宋体"/>
                <w:color w:val="000000"/>
                <w:sz w:val="20"/>
                <w:szCs w:val="20"/>
              </w:rPr>
            </w:pPr>
            <w:r>
              <w:rPr>
                <w:rFonts w:hint="eastAsia" w:ascii="宋体" w:hAnsi="宋体" w:eastAsia="宋体"/>
                <w:color w:val="000000"/>
                <w:sz w:val="20"/>
                <w:szCs w:val="20"/>
              </w:rPr>
              <w:t>箱</w:t>
            </w:r>
          </w:p>
        </w:tc>
        <w:tc>
          <w:tcPr>
            <w:tcW w:w="681" w:type="dxa"/>
            <w:shd w:val="clear" w:color="auto" w:fill="auto"/>
            <w:noWrap/>
            <w:vAlign w:val="center"/>
          </w:tcPr>
          <w:p w14:paraId="3E49B0DC">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58E96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7" w:hRule="atLeast"/>
          <w:jc w:val="center"/>
        </w:trPr>
        <w:tc>
          <w:tcPr>
            <w:tcW w:w="664" w:type="dxa"/>
            <w:vAlign w:val="center"/>
          </w:tcPr>
          <w:p w14:paraId="78F81F58">
            <w:pPr>
              <w:jc w:val="center"/>
              <w:rPr>
                <w:rFonts w:ascii="宋体" w:hAnsi="宋体" w:eastAsia="宋体"/>
                <w:sz w:val="20"/>
                <w:szCs w:val="20"/>
              </w:rPr>
            </w:pPr>
            <w:r>
              <w:rPr>
                <w:rFonts w:hint="eastAsia" w:ascii="宋体" w:hAnsi="宋体" w:eastAsia="宋体"/>
                <w:sz w:val="20"/>
                <w:szCs w:val="20"/>
              </w:rPr>
              <w:t>1</w:t>
            </w:r>
            <w:r>
              <w:rPr>
                <w:rFonts w:ascii="宋体" w:hAnsi="宋体" w:eastAsia="宋体"/>
                <w:sz w:val="20"/>
                <w:szCs w:val="20"/>
              </w:rPr>
              <w:t>2</w:t>
            </w:r>
          </w:p>
        </w:tc>
        <w:tc>
          <w:tcPr>
            <w:tcW w:w="1550" w:type="dxa"/>
            <w:shd w:val="clear" w:color="auto" w:fill="auto"/>
            <w:noWrap/>
            <w:vAlign w:val="center"/>
          </w:tcPr>
          <w:p w14:paraId="6EBD32B1">
            <w:pPr>
              <w:jc w:val="center"/>
              <w:rPr>
                <w:rFonts w:ascii="宋体" w:hAnsi="宋体" w:eastAsia="宋体"/>
                <w:sz w:val="20"/>
                <w:szCs w:val="20"/>
              </w:rPr>
            </w:pPr>
            <w:r>
              <w:rPr>
                <w:rFonts w:hint="eastAsia" w:ascii="宋体" w:hAnsi="宋体" w:eastAsia="宋体"/>
                <w:sz w:val="20"/>
                <w:szCs w:val="20"/>
              </w:rPr>
              <w:t>万向预埋件</w:t>
            </w:r>
          </w:p>
        </w:tc>
        <w:tc>
          <w:tcPr>
            <w:tcW w:w="7200" w:type="dxa"/>
            <w:shd w:val="clear" w:color="auto" w:fill="auto"/>
            <w:noWrap/>
            <w:vAlign w:val="center"/>
          </w:tcPr>
          <w:p w14:paraId="01380FA2">
            <w:pPr>
              <w:widowControl/>
              <w:jc w:val="left"/>
              <w:rPr>
                <w:rFonts w:ascii="宋体" w:hAnsi="宋体" w:eastAsia="宋体" w:cs="宋体"/>
                <w:kern w:val="0"/>
                <w:sz w:val="20"/>
                <w:szCs w:val="20"/>
              </w:rPr>
            </w:pPr>
            <w:r>
              <w:rPr>
                <w:rFonts w:ascii="宋体" w:hAnsi="宋体" w:eastAsia="宋体" w:cs="宋体"/>
                <w:kern w:val="0"/>
                <w:sz w:val="20"/>
                <w:szCs w:val="20"/>
              </w:rPr>
              <w:t>1、外形尺寸：长×宽×高=120×120×265mm。（或定制）</w:t>
            </w:r>
          </w:p>
          <w:p w14:paraId="1F95DA97">
            <w:pPr>
              <w:widowControl/>
              <w:jc w:val="left"/>
              <w:rPr>
                <w:rFonts w:ascii="宋体" w:hAnsi="宋体" w:eastAsia="宋体" w:cs="宋体"/>
                <w:kern w:val="0"/>
                <w:sz w:val="20"/>
                <w:szCs w:val="20"/>
              </w:rPr>
            </w:pPr>
            <w:r>
              <w:rPr>
                <w:rFonts w:ascii="宋体" w:hAnsi="宋体" w:eastAsia="宋体" w:cs="宋体"/>
                <w:kern w:val="0"/>
                <w:sz w:val="20"/>
                <w:szCs w:val="20"/>
              </w:rPr>
              <w:t>2、万向预埋件主要由预埋板件、预埋固定套和预埋索扣组成。</w:t>
            </w:r>
          </w:p>
          <w:p w14:paraId="6094D6C9">
            <w:pPr>
              <w:widowControl/>
              <w:jc w:val="left"/>
              <w:rPr>
                <w:rFonts w:ascii="宋体" w:hAnsi="宋体" w:eastAsia="宋体" w:cs="宋体"/>
                <w:kern w:val="0"/>
                <w:sz w:val="20"/>
                <w:szCs w:val="20"/>
              </w:rPr>
            </w:pPr>
            <w:r>
              <w:rPr>
                <w:rFonts w:ascii="宋体" w:hAnsi="宋体" w:eastAsia="宋体" w:cs="宋体"/>
                <w:kern w:val="0"/>
                <w:sz w:val="20"/>
                <w:szCs w:val="20"/>
              </w:rPr>
              <w:t>3、预埋件板件主要采用δ10铁板和Φ6圆钢焊接组成，表面经酸洗、磷化后涂防锈漆。</w:t>
            </w:r>
          </w:p>
          <w:p w14:paraId="5A34127A">
            <w:pPr>
              <w:widowControl/>
              <w:jc w:val="left"/>
              <w:rPr>
                <w:rFonts w:ascii="宋体" w:hAnsi="宋体" w:eastAsia="宋体" w:cs="宋体"/>
                <w:kern w:val="0"/>
                <w:sz w:val="20"/>
                <w:szCs w:val="20"/>
              </w:rPr>
            </w:pPr>
            <w:r>
              <w:rPr>
                <w:rFonts w:ascii="宋体" w:hAnsi="宋体" w:eastAsia="宋体" w:cs="宋体"/>
                <w:kern w:val="0"/>
                <w:sz w:val="20"/>
                <w:szCs w:val="20"/>
              </w:rPr>
              <w:t>4、预埋件固定套采用优质圆钢经车加工制作，表面经酸洗、磷化后镀锌处理。</w:t>
            </w:r>
          </w:p>
          <w:p w14:paraId="0B61E22B">
            <w:pPr>
              <w:widowControl/>
              <w:jc w:val="left"/>
              <w:rPr>
                <w:rFonts w:ascii="宋体" w:hAnsi="宋体" w:eastAsia="宋体" w:cs="宋体"/>
                <w:kern w:val="0"/>
                <w:sz w:val="20"/>
                <w:szCs w:val="20"/>
              </w:rPr>
            </w:pPr>
            <w:r>
              <w:rPr>
                <w:rFonts w:ascii="宋体" w:hAnsi="宋体" w:eastAsia="宋体" w:cs="宋体"/>
                <w:kern w:val="0"/>
                <w:sz w:val="20"/>
                <w:szCs w:val="20"/>
              </w:rPr>
              <w:t>5、预埋索扣为活络件，可万向转动，高度可通过螺纹调节，不使用时，将索扣调节至固定套内，盖上预埋件盖板，即可保持地板面平整。</w:t>
            </w:r>
          </w:p>
        </w:tc>
        <w:tc>
          <w:tcPr>
            <w:tcW w:w="683" w:type="dxa"/>
            <w:shd w:val="clear" w:color="auto" w:fill="auto"/>
            <w:noWrap/>
            <w:vAlign w:val="center"/>
          </w:tcPr>
          <w:p w14:paraId="12D51C21">
            <w:pPr>
              <w:jc w:val="center"/>
              <w:rPr>
                <w:rFonts w:ascii="宋体" w:hAnsi="宋体" w:eastAsia="宋体"/>
                <w:color w:val="000000"/>
                <w:sz w:val="20"/>
                <w:szCs w:val="20"/>
              </w:rPr>
            </w:pPr>
            <w:r>
              <w:rPr>
                <w:rFonts w:hint="eastAsia" w:ascii="宋体" w:hAnsi="宋体" w:eastAsia="宋体"/>
                <w:color w:val="000000"/>
                <w:sz w:val="20"/>
                <w:szCs w:val="20"/>
              </w:rPr>
              <w:t>件</w:t>
            </w:r>
          </w:p>
        </w:tc>
        <w:tc>
          <w:tcPr>
            <w:tcW w:w="681" w:type="dxa"/>
            <w:shd w:val="clear" w:color="auto" w:fill="auto"/>
            <w:noWrap/>
            <w:vAlign w:val="center"/>
          </w:tcPr>
          <w:p w14:paraId="6ACFE769">
            <w:pPr>
              <w:jc w:val="center"/>
              <w:rPr>
                <w:rFonts w:ascii="宋体" w:hAnsi="宋体" w:eastAsia="宋体"/>
                <w:color w:val="000000"/>
                <w:sz w:val="20"/>
                <w:szCs w:val="20"/>
              </w:rPr>
            </w:pPr>
            <w:r>
              <w:rPr>
                <w:rFonts w:hint="eastAsia" w:ascii="宋体" w:hAnsi="宋体" w:eastAsia="宋体"/>
                <w:color w:val="000000"/>
                <w:sz w:val="20"/>
                <w:szCs w:val="20"/>
              </w:rPr>
              <w:t>10</w:t>
            </w:r>
          </w:p>
        </w:tc>
      </w:tr>
      <w:tr w14:paraId="6CB33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3" w:hRule="atLeast"/>
          <w:jc w:val="center"/>
        </w:trPr>
        <w:tc>
          <w:tcPr>
            <w:tcW w:w="664" w:type="dxa"/>
            <w:vAlign w:val="center"/>
          </w:tcPr>
          <w:p w14:paraId="087F61F2">
            <w:pPr>
              <w:jc w:val="center"/>
              <w:rPr>
                <w:rFonts w:ascii="宋体" w:hAnsi="宋体" w:eastAsia="宋体"/>
                <w:sz w:val="20"/>
                <w:szCs w:val="20"/>
              </w:rPr>
            </w:pPr>
            <w:r>
              <w:rPr>
                <w:rFonts w:hint="eastAsia" w:ascii="宋体" w:hAnsi="宋体" w:eastAsia="宋体"/>
                <w:sz w:val="20"/>
                <w:szCs w:val="20"/>
              </w:rPr>
              <w:t>1</w:t>
            </w:r>
            <w:r>
              <w:rPr>
                <w:rFonts w:ascii="宋体" w:hAnsi="宋体" w:eastAsia="宋体"/>
                <w:sz w:val="20"/>
                <w:szCs w:val="20"/>
              </w:rPr>
              <w:t>3</w:t>
            </w:r>
          </w:p>
        </w:tc>
        <w:tc>
          <w:tcPr>
            <w:tcW w:w="1550" w:type="dxa"/>
            <w:shd w:val="clear" w:color="auto" w:fill="auto"/>
            <w:noWrap/>
            <w:vAlign w:val="center"/>
          </w:tcPr>
          <w:p w14:paraId="60F2D73E">
            <w:pPr>
              <w:jc w:val="center"/>
              <w:rPr>
                <w:rFonts w:ascii="宋体" w:hAnsi="宋体" w:eastAsia="宋体"/>
                <w:sz w:val="20"/>
                <w:szCs w:val="20"/>
              </w:rPr>
            </w:pPr>
            <w:r>
              <w:rPr>
                <w:rFonts w:hint="eastAsia" w:ascii="宋体" w:hAnsi="宋体" w:eastAsia="宋体"/>
                <w:sz w:val="20"/>
                <w:szCs w:val="20"/>
              </w:rPr>
              <w:t>运动地板</w:t>
            </w:r>
          </w:p>
          <w:p w14:paraId="3D9545CC">
            <w:pPr>
              <w:jc w:val="center"/>
              <w:rPr>
                <w:rFonts w:ascii="宋体" w:hAnsi="宋体" w:eastAsia="宋体"/>
                <w:sz w:val="20"/>
                <w:szCs w:val="20"/>
              </w:rPr>
            </w:pPr>
            <w:r>
              <w:rPr>
                <w:rFonts w:hint="eastAsia" w:ascii="宋体" w:hAnsi="宋体" w:eastAsia="宋体"/>
                <w:sz w:val="20"/>
                <w:szCs w:val="20"/>
              </w:rPr>
              <w:t>（核心产品）</w:t>
            </w:r>
          </w:p>
        </w:tc>
        <w:tc>
          <w:tcPr>
            <w:tcW w:w="7200" w:type="dxa"/>
            <w:shd w:val="clear" w:color="auto" w:fill="auto"/>
            <w:noWrap/>
            <w:vAlign w:val="center"/>
          </w:tcPr>
          <w:p w14:paraId="6340CDCF">
            <w:pPr>
              <w:widowControl/>
              <w:jc w:val="left"/>
              <w:rPr>
                <w:rFonts w:ascii="宋体" w:hAnsi="宋体" w:eastAsia="宋体" w:cs="宋体"/>
                <w:kern w:val="0"/>
                <w:sz w:val="20"/>
                <w:szCs w:val="20"/>
              </w:rPr>
            </w:pPr>
            <w:r>
              <w:rPr>
                <w:rFonts w:ascii="宋体" w:hAnsi="宋体" w:eastAsia="宋体" w:cs="宋体"/>
                <w:kern w:val="0"/>
                <w:sz w:val="20"/>
                <w:szCs w:val="20"/>
              </w:rPr>
              <w:t>1.邵氏硬度70-90度（邵A）</w:t>
            </w:r>
          </w:p>
          <w:p w14:paraId="0B6E9F38">
            <w:pPr>
              <w:widowControl/>
              <w:jc w:val="left"/>
              <w:rPr>
                <w:rFonts w:ascii="宋体" w:hAnsi="宋体" w:eastAsia="宋体" w:cs="宋体"/>
                <w:kern w:val="0"/>
                <w:sz w:val="20"/>
                <w:szCs w:val="20"/>
              </w:rPr>
            </w:pPr>
            <w:r>
              <w:rPr>
                <w:rFonts w:ascii="宋体" w:hAnsi="宋体" w:eastAsia="宋体" w:cs="宋体"/>
                <w:kern w:val="0"/>
                <w:sz w:val="20"/>
                <w:szCs w:val="20"/>
              </w:rPr>
              <w:t>2.拉伸强度≥1.5MPa</w:t>
            </w:r>
          </w:p>
          <w:p w14:paraId="08B627A0">
            <w:pPr>
              <w:widowControl/>
              <w:jc w:val="left"/>
              <w:rPr>
                <w:rFonts w:ascii="宋体" w:hAnsi="宋体" w:eastAsia="宋体" w:cs="宋体"/>
                <w:kern w:val="0"/>
                <w:sz w:val="20"/>
                <w:szCs w:val="20"/>
              </w:rPr>
            </w:pPr>
            <w:r>
              <w:rPr>
                <w:rFonts w:ascii="宋体" w:hAnsi="宋体" w:eastAsia="宋体" w:cs="宋体"/>
                <w:kern w:val="0"/>
                <w:sz w:val="20"/>
                <w:szCs w:val="20"/>
              </w:rPr>
              <w:t>3.拉断伸长率≥120%</w:t>
            </w:r>
          </w:p>
          <w:p w14:paraId="446CFE89">
            <w:pPr>
              <w:widowControl/>
              <w:jc w:val="left"/>
              <w:rPr>
                <w:rFonts w:ascii="宋体" w:hAnsi="宋体" w:eastAsia="宋体" w:cs="宋体"/>
                <w:kern w:val="0"/>
                <w:sz w:val="20"/>
                <w:szCs w:val="20"/>
              </w:rPr>
            </w:pPr>
            <w:r>
              <w:rPr>
                <w:rFonts w:ascii="宋体" w:hAnsi="宋体" w:eastAsia="宋体" w:cs="宋体"/>
                <w:kern w:val="0"/>
                <w:sz w:val="20"/>
                <w:szCs w:val="20"/>
              </w:rPr>
              <w:t>4.面质量偏差≤±3%</w:t>
            </w:r>
          </w:p>
          <w:p w14:paraId="7B0B009E">
            <w:pPr>
              <w:widowControl/>
              <w:jc w:val="left"/>
              <w:rPr>
                <w:rFonts w:ascii="宋体" w:hAnsi="宋体" w:eastAsia="宋体" w:cs="宋体"/>
                <w:kern w:val="0"/>
                <w:sz w:val="20"/>
                <w:szCs w:val="20"/>
              </w:rPr>
            </w:pPr>
            <w:r>
              <w:rPr>
                <w:rFonts w:ascii="宋体" w:hAnsi="宋体" w:eastAsia="宋体" w:cs="宋体"/>
                <w:kern w:val="0"/>
                <w:sz w:val="20"/>
                <w:szCs w:val="20"/>
              </w:rPr>
              <w:t>5.加热尺寸变化率（纵向，横向）≤0.4%</w:t>
            </w:r>
          </w:p>
          <w:p w14:paraId="77D7200C">
            <w:pPr>
              <w:widowControl/>
              <w:jc w:val="left"/>
              <w:rPr>
                <w:rFonts w:ascii="宋体" w:hAnsi="宋体" w:eastAsia="宋体" w:cs="宋体"/>
                <w:kern w:val="0"/>
                <w:sz w:val="20"/>
                <w:szCs w:val="20"/>
              </w:rPr>
            </w:pPr>
            <w:r>
              <w:rPr>
                <w:rFonts w:ascii="宋体" w:hAnsi="宋体" w:eastAsia="宋体" w:cs="宋体"/>
                <w:kern w:val="0"/>
                <w:sz w:val="20"/>
                <w:szCs w:val="20"/>
              </w:rPr>
              <w:t>6.耐磨性T级，体积损失≤2.0mm³</w:t>
            </w:r>
          </w:p>
          <w:p w14:paraId="2A28C650">
            <w:pPr>
              <w:widowControl/>
              <w:jc w:val="left"/>
              <w:rPr>
                <w:rFonts w:ascii="宋体" w:hAnsi="宋体" w:eastAsia="宋体" w:cs="宋体"/>
                <w:kern w:val="0"/>
                <w:sz w:val="20"/>
                <w:szCs w:val="20"/>
              </w:rPr>
            </w:pPr>
            <w:r>
              <w:rPr>
                <w:rFonts w:ascii="宋体" w:hAnsi="宋体" w:eastAsia="宋体" w:cs="宋体"/>
                <w:kern w:val="0"/>
                <w:sz w:val="20"/>
                <w:szCs w:val="20"/>
              </w:rPr>
              <w:t>7.焊接强度，平均值≥500N/50mm；最小值≥400N/50mm</w:t>
            </w:r>
          </w:p>
          <w:p w14:paraId="513D9EDE">
            <w:pPr>
              <w:widowControl/>
              <w:jc w:val="left"/>
              <w:rPr>
                <w:rFonts w:ascii="宋体" w:hAnsi="宋体" w:eastAsia="宋体" w:cs="宋体"/>
                <w:kern w:val="0"/>
                <w:sz w:val="20"/>
                <w:szCs w:val="20"/>
              </w:rPr>
            </w:pPr>
            <w:r>
              <w:rPr>
                <w:rFonts w:ascii="宋体" w:hAnsi="宋体" w:eastAsia="宋体" w:cs="宋体"/>
                <w:kern w:val="0"/>
                <w:sz w:val="20"/>
                <w:szCs w:val="20"/>
              </w:rPr>
              <w:t>8.防滑性(湿法)≥0.6</w:t>
            </w:r>
          </w:p>
          <w:p w14:paraId="55CEBE58">
            <w:pPr>
              <w:widowControl/>
              <w:jc w:val="left"/>
              <w:rPr>
                <w:rFonts w:ascii="宋体" w:hAnsi="宋体" w:eastAsia="宋体" w:cs="宋体"/>
                <w:kern w:val="0"/>
                <w:sz w:val="20"/>
                <w:szCs w:val="20"/>
              </w:rPr>
            </w:pPr>
            <w:r>
              <w:rPr>
                <w:rFonts w:ascii="宋体" w:hAnsi="宋体" w:eastAsia="宋体" w:cs="宋体"/>
                <w:kern w:val="0"/>
                <w:sz w:val="20"/>
                <w:szCs w:val="20"/>
              </w:rPr>
              <w:t>9.阻燃性：Ⅰ级</w:t>
            </w:r>
          </w:p>
          <w:p w14:paraId="71086A1F">
            <w:pPr>
              <w:widowControl/>
              <w:jc w:val="left"/>
              <w:rPr>
                <w:rFonts w:ascii="宋体" w:hAnsi="宋体" w:eastAsia="宋体" w:cs="宋体"/>
                <w:kern w:val="0"/>
                <w:sz w:val="20"/>
                <w:szCs w:val="20"/>
              </w:rPr>
            </w:pPr>
            <w:r>
              <w:rPr>
                <w:rFonts w:ascii="宋体" w:hAnsi="宋体" w:eastAsia="宋体" w:cs="宋体"/>
                <w:kern w:val="0"/>
                <w:sz w:val="20"/>
                <w:szCs w:val="20"/>
              </w:rPr>
              <w:t>10.可溶性重金属铅含量≤20mg/㎡</w:t>
            </w:r>
          </w:p>
          <w:p w14:paraId="5474C629">
            <w:pPr>
              <w:widowControl/>
              <w:jc w:val="left"/>
              <w:rPr>
                <w:rFonts w:ascii="宋体" w:hAnsi="宋体" w:eastAsia="宋体" w:cs="宋体"/>
                <w:kern w:val="0"/>
                <w:sz w:val="20"/>
                <w:szCs w:val="20"/>
              </w:rPr>
            </w:pPr>
            <w:r>
              <w:rPr>
                <w:rFonts w:ascii="宋体" w:hAnsi="宋体" w:eastAsia="宋体" w:cs="宋体"/>
                <w:kern w:val="0"/>
                <w:sz w:val="20"/>
                <w:szCs w:val="20"/>
              </w:rPr>
              <w:t>11.可溶性重金属镉含量≤20mg/㎡</w:t>
            </w:r>
          </w:p>
          <w:p w14:paraId="0E549C44">
            <w:pPr>
              <w:widowControl/>
              <w:jc w:val="left"/>
              <w:rPr>
                <w:rFonts w:ascii="宋体" w:hAnsi="宋体" w:eastAsia="宋体" w:cs="宋体"/>
                <w:kern w:val="0"/>
                <w:sz w:val="20"/>
                <w:szCs w:val="20"/>
              </w:rPr>
            </w:pPr>
            <w:r>
              <w:rPr>
                <w:rFonts w:ascii="宋体" w:hAnsi="宋体" w:eastAsia="宋体" w:cs="宋体"/>
                <w:kern w:val="0"/>
                <w:sz w:val="20"/>
                <w:szCs w:val="20"/>
              </w:rPr>
              <w:t>12.灰分含量≤0.2%</w:t>
            </w:r>
          </w:p>
          <w:p w14:paraId="04B0468C">
            <w:pPr>
              <w:widowControl/>
              <w:jc w:val="left"/>
              <w:rPr>
                <w:rFonts w:ascii="宋体" w:hAnsi="宋体" w:eastAsia="宋体" w:cs="宋体"/>
                <w:kern w:val="0"/>
                <w:sz w:val="20"/>
                <w:szCs w:val="20"/>
              </w:rPr>
            </w:pPr>
            <w:r>
              <w:rPr>
                <w:rFonts w:ascii="宋体" w:hAnsi="宋体" w:eastAsia="宋体" w:cs="宋体"/>
                <w:kern w:val="0"/>
                <w:sz w:val="20"/>
                <w:szCs w:val="20"/>
              </w:rPr>
              <w:t>13.氯乙烯含量：未检出</w:t>
            </w:r>
          </w:p>
          <w:p w14:paraId="3B00DF39">
            <w:pPr>
              <w:widowControl/>
              <w:jc w:val="left"/>
              <w:rPr>
                <w:rFonts w:ascii="宋体" w:hAnsi="宋体" w:eastAsia="宋体" w:cs="宋体"/>
                <w:kern w:val="0"/>
                <w:sz w:val="20"/>
                <w:szCs w:val="20"/>
              </w:rPr>
            </w:pPr>
            <w:r>
              <w:rPr>
                <w:rFonts w:ascii="宋体" w:hAnsi="宋体" w:eastAsia="宋体" w:cs="宋体"/>
                <w:kern w:val="0"/>
                <w:sz w:val="20"/>
                <w:szCs w:val="20"/>
              </w:rPr>
              <w:t>★14.28天后甲苯、乙苯释放量未检出</w:t>
            </w:r>
          </w:p>
          <w:p w14:paraId="61A962EE">
            <w:pPr>
              <w:widowControl/>
              <w:jc w:val="left"/>
              <w:rPr>
                <w:rFonts w:ascii="宋体" w:hAnsi="宋体" w:eastAsia="宋体" w:cs="宋体"/>
                <w:kern w:val="0"/>
                <w:sz w:val="20"/>
                <w:szCs w:val="20"/>
              </w:rPr>
            </w:pPr>
            <w:r>
              <w:rPr>
                <w:rFonts w:ascii="宋体" w:hAnsi="宋体" w:eastAsia="宋体" w:cs="宋体"/>
                <w:kern w:val="0"/>
                <w:sz w:val="20"/>
                <w:szCs w:val="20"/>
              </w:rPr>
              <w:t>★15.抗菌性能检测（大肠</w:t>
            </w:r>
            <w:r>
              <w:rPr>
                <w:rFonts w:hint="eastAsia" w:ascii="宋体" w:hAnsi="宋体" w:eastAsia="宋体" w:cs="宋体"/>
                <w:kern w:val="0"/>
                <w:sz w:val="20"/>
                <w:szCs w:val="20"/>
              </w:rPr>
              <w:t>杆菌、金黄色葡萄球菌等</w:t>
            </w:r>
            <w:r>
              <w:rPr>
                <w:rFonts w:ascii="宋体" w:hAnsi="宋体" w:eastAsia="宋体" w:cs="宋体"/>
                <w:kern w:val="0"/>
                <w:sz w:val="20"/>
                <w:szCs w:val="20"/>
              </w:rPr>
              <w:t>5种及以上细菌），抗菌率≥99.5%。</w:t>
            </w:r>
          </w:p>
          <w:p w14:paraId="655AF833">
            <w:pPr>
              <w:widowControl/>
              <w:jc w:val="left"/>
              <w:rPr>
                <w:rFonts w:ascii="宋体" w:hAnsi="宋体" w:eastAsia="宋体" w:cs="宋体"/>
                <w:kern w:val="0"/>
                <w:sz w:val="20"/>
                <w:szCs w:val="20"/>
              </w:rPr>
            </w:pPr>
            <w:r>
              <w:rPr>
                <w:rFonts w:ascii="宋体" w:hAnsi="宋体" w:eastAsia="宋体" w:cs="宋体"/>
                <w:kern w:val="0"/>
                <w:sz w:val="20"/>
                <w:szCs w:val="20"/>
              </w:rPr>
              <w:t>★16.耐酸耐碱老化≥5000h，外观无龟裂、无粉化、变形、鼓包等缺陷，无变色等不良现象，抗滑值80-110.</w:t>
            </w:r>
          </w:p>
          <w:p w14:paraId="13C23D04">
            <w:pPr>
              <w:widowControl/>
              <w:jc w:val="left"/>
              <w:rPr>
                <w:rFonts w:ascii="宋体" w:hAnsi="宋体" w:eastAsia="宋体" w:cs="宋体"/>
                <w:kern w:val="0"/>
                <w:sz w:val="20"/>
                <w:szCs w:val="20"/>
              </w:rPr>
            </w:pPr>
            <w:r>
              <w:rPr>
                <w:rFonts w:ascii="宋体" w:hAnsi="宋体" w:eastAsia="宋体" w:cs="宋体"/>
                <w:kern w:val="0"/>
                <w:sz w:val="20"/>
                <w:szCs w:val="20"/>
              </w:rPr>
              <w:t>★17.耐环境应力开裂检测≥5000h，达到破裂率0%</w:t>
            </w:r>
          </w:p>
          <w:p w14:paraId="349F151B">
            <w:pPr>
              <w:widowControl/>
              <w:jc w:val="left"/>
              <w:rPr>
                <w:rFonts w:ascii="宋体" w:hAnsi="宋体" w:eastAsia="宋体" w:cs="宋体"/>
                <w:kern w:val="0"/>
                <w:sz w:val="20"/>
                <w:szCs w:val="20"/>
              </w:rPr>
            </w:pPr>
            <w:r>
              <w:rPr>
                <w:rFonts w:ascii="宋体" w:hAnsi="宋体" w:eastAsia="宋体" w:cs="宋体"/>
                <w:kern w:val="0"/>
                <w:sz w:val="20"/>
                <w:szCs w:val="20"/>
              </w:rPr>
              <w:t>★18.耐人工气候（透过玻璃）老化≥5000h，老化前后拉伸强度≥0.4MPa，老化前后垂直变形≤3mm，老化前后耐磨性(500r~1500r之间的质量损失)≤1.0g。</w:t>
            </w:r>
          </w:p>
        </w:tc>
        <w:tc>
          <w:tcPr>
            <w:tcW w:w="683" w:type="dxa"/>
            <w:shd w:val="clear" w:color="auto" w:fill="auto"/>
            <w:noWrap/>
            <w:vAlign w:val="center"/>
          </w:tcPr>
          <w:p w14:paraId="776576B4">
            <w:pPr>
              <w:jc w:val="center"/>
              <w:rPr>
                <w:rFonts w:ascii="宋体" w:hAnsi="宋体" w:eastAsia="宋体"/>
                <w:color w:val="000000"/>
                <w:sz w:val="20"/>
                <w:szCs w:val="20"/>
              </w:rPr>
            </w:pPr>
            <w:r>
              <w:rPr>
                <w:rFonts w:hint="eastAsia" w:ascii="宋体" w:hAnsi="宋体" w:eastAsia="宋体"/>
                <w:color w:val="000000"/>
                <w:sz w:val="20"/>
                <w:szCs w:val="20"/>
              </w:rPr>
              <w:t>平方</w:t>
            </w:r>
          </w:p>
        </w:tc>
        <w:tc>
          <w:tcPr>
            <w:tcW w:w="681" w:type="dxa"/>
            <w:shd w:val="clear" w:color="auto" w:fill="auto"/>
            <w:noWrap/>
            <w:vAlign w:val="center"/>
          </w:tcPr>
          <w:p w14:paraId="1B5D9A4D">
            <w:pPr>
              <w:jc w:val="center"/>
              <w:rPr>
                <w:rFonts w:ascii="宋体" w:hAnsi="宋体" w:eastAsia="宋体"/>
                <w:color w:val="000000"/>
                <w:sz w:val="20"/>
                <w:szCs w:val="20"/>
              </w:rPr>
            </w:pPr>
            <w:r>
              <w:rPr>
                <w:rFonts w:hint="eastAsia" w:ascii="宋体" w:hAnsi="宋体" w:eastAsia="宋体"/>
                <w:color w:val="000000"/>
                <w:sz w:val="20"/>
                <w:szCs w:val="20"/>
              </w:rPr>
              <w:t>145</w:t>
            </w:r>
          </w:p>
        </w:tc>
      </w:tr>
      <w:tr w14:paraId="0D100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664" w:type="dxa"/>
            <w:vAlign w:val="center"/>
          </w:tcPr>
          <w:p w14:paraId="3D106298">
            <w:pPr>
              <w:jc w:val="center"/>
              <w:rPr>
                <w:rFonts w:ascii="宋体" w:hAnsi="宋体" w:eastAsia="宋体"/>
                <w:sz w:val="20"/>
                <w:szCs w:val="20"/>
              </w:rPr>
            </w:pPr>
            <w:r>
              <w:rPr>
                <w:rFonts w:hint="eastAsia" w:ascii="宋体" w:hAnsi="宋体" w:eastAsia="宋体"/>
                <w:sz w:val="20"/>
                <w:szCs w:val="20"/>
              </w:rPr>
              <w:t>1</w:t>
            </w:r>
            <w:r>
              <w:rPr>
                <w:rFonts w:ascii="宋体" w:hAnsi="宋体" w:eastAsia="宋体"/>
                <w:sz w:val="20"/>
                <w:szCs w:val="20"/>
              </w:rPr>
              <w:t>4</w:t>
            </w:r>
          </w:p>
        </w:tc>
        <w:tc>
          <w:tcPr>
            <w:tcW w:w="1550" w:type="dxa"/>
            <w:shd w:val="clear" w:color="auto" w:fill="auto"/>
            <w:noWrap/>
            <w:vAlign w:val="center"/>
          </w:tcPr>
          <w:p w14:paraId="708698DF">
            <w:pPr>
              <w:jc w:val="center"/>
              <w:rPr>
                <w:rFonts w:ascii="宋体" w:hAnsi="宋体" w:eastAsia="宋体"/>
                <w:sz w:val="20"/>
                <w:szCs w:val="20"/>
              </w:rPr>
            </w:pPr>
            <w:r>
              <w:rPr>
                <w:rFonts w:hint="eastAsia" w:ascii="宋体" w:hAnsi="宋体" w:eastAsia="宋体"/>
                <w:sz w:val="20"/>
                <w:szCs w:val="20"/>
              </w:rPr>
              <w:t>体操房专用空气净化消毒仪</w:t>
            </w:r>
          </w:p>
        </w:tc>
        <w:tc>
          <w:tcPr>
            <w:tcW w:w="7200" w:type="dxa"/>
            <w:shd w:val="clear" w:color="auto" w:fill="auto"/>
            <w:noWrap/>
            <w:vAlign w:val="center"/>
          </w:tcPr>
          <w:p w14:paraId="01701D2F">
            <w:pPr>
              <w:widowControl/>
              <w:jc w:val="left"/>
              <w:rPr>
                <w:rFonts w:ascii="宋体" w:hAnsi="宋体" w:eastAsia="宋体" w:cs="宋体"/>
                <w:kern w:val="0"/>
                <w:sz w:val="20"/>
                <w:szCs w:val="20"/>
              </w:rPr>
            </w:pPr>
            <w:r>
              <w:rPr>
                <w:rFonts w:hint="eastAsia" w:ascii="宋体" w:hAnsi="宋体" w:eastAsia="宋体" w:cs="宋体"/>
                <w:kern w:val="0"/>
                <w:sz w:val="20"/>
                <w:szCs w:val="20"/>
              </w:rPr>
              <w:t>硬件功能：</w:t>
            </w:r>
          </w:p>
          <w:p w14:paraId="605B7F1F">
            <w:pPr>
              <w:widowControl/>
              <w:jc w:val="left"/>
              <w:rPr>
                <w:rFonts w:ascii="宋体" w:hAnsi="宋体" w:eastAsia="宋体" w:cs="宋体"/>
                <w:kern w:val="0"/>
                <w:sz w:val="20"/>
                <w:szCs w:val="20"/>
              </w:rPr>
            </w:pPr>
            <w:r>
              <w:rPr>
                <w:rFonts w:hint="eastAsia" w:ascii="宋体" w:hAnsi="宋体" w:eastAsia="宋体" w:cs="宋体"/>
                <w:kern w:val="0"/>
                <w:sz w:val="20"/>
                <w:szCs w:val="20"/>
              </w:rPr>
              <w:t>1.设备外型尺寸及结构：防止设备腐蚀，设备整体为钣金结构；保证设备消毒的有效性，活氧充分弥漫到整个空间，需将出风口朝下，整机的结构须≥880×195×400（mm）；</w:t>
            </w:r>
          </w:p>
          <w:p w14:paraId="5764D169">
            <w:pPr>
              <w:widowControl/>
              <w:jc w:val="left"/>
              <w:rPr>
                <w:rFonts w:ascii="宋体" w:hAnsi="宋体" w:eastAsia="宋体" w:cs="宋体"/>
                <w:kern w:val="0"/>
                <w:sz w:val="20"/>
                <w:szCs w:val="20"/>
              </w:rPr>
            </w:pPr>
            <w:r>
              <w:rPr>
                <w:rFonts w:hint="eastAsia" w:ascii="宋体" w:hAnsi="宋体" w:eastAsia="宋体" w:cs="宋体"/>
                <w:kern w:val="0"/>
                <w:sz w:val="20"/>
                <w:szCs w:val="20"/>
              </w:rPr>
              <w:t>2.正面面板采用红外模块人体感知探头，用于感知消毒模式下有人误闯能及时关闭机器，保证安全性；</w:t>
            </w:r>
          </w:p>
          <w:p w14:paraId="6537CED7">
            <w:pPr>
              <w:widowControl/>
              <w:jc w:val="left"/>
              <w:rPr>
                <w:rFonts w:ascii="宋体" w:hAnsi="宋体" w:eastAsia="宋体" w:cs="宋体"/>
                <w:kern w:val="0"/>
                <w:sz w:val="20"/>
                <w:szCs w:val="20"/>
              </w:rPr>
            </w:pPr>
            <w:r>
              <w:rPr>
                <w:rFonts w:hint="eastAsia" w:ascii="宋体" w:hAnsi="宋体" w:eastAsia="宋体" w:cs="宋体"/>
                <w:kern w:val="0"/>
                <w:sz w:val="20"/>
                <w:szCs w:val="20"/>
              </w:rPr>
              <w:t>3.正面面板有两个状态指示灯，分别指示系统的运行状态；</w:t>
            </w:r>
          </w:p>
          <w:p w14:paraId="7641B24B">
            <w:pPr>
              <w:widowControl/>
              <w:jc w:val="left"/>
              <w:rPr>
                <w:rFonts w:ascii="宋体" w:hAnsi="宋体" w:eastAsia="宋体" w:cs="宋体"/>
                <w:kern w:val="0"/>
                <w:sz w:val="20"/>
                <w:szCs w:val="20"/>
              </w:rPr>
            </w:pPr>
            <w:r>
              <w:rPr>
                <w:rFonts w:hint="eastAsia" w:ascii="宋体" w:hAnsi="宋体" w:eastAsia="宋体" w:cs="宋体"/>
                <w:kern w:val="0"/>
                <w:sz w:val="20"/>
                <w:szCs w:val="20"/>
              </w:rPr>
              <w:t>4.为了保证整机安全运行，不影响风速，设备出风口为栅格网孔；</w:t>
            </w:r>
          </w:p>
          <w:p w14:paraId="11DD8E33">
            <w:pPr>
              <w:widowControl/>
              <w:jc w:val="left"/>
              <w:rPr>
                <w:rFonts w:ascii="宋体" w:hAnsi="宋体" w:eastAsia="宋体" w:cs="宋体"/>
                <w:kern w:val="0"/>
                <w:sz w:val="20"/>
                <w:szCs w:val="20"/>
              </w:rPr>
            </w:pPr>
            <w:r>
              <w:rPr>
                <w:rFonts w:hint="eastAsia" w:ascii="宋体" w:hAnsi="宋体" w:eastAsia="宋体" w:cs="宋体"/>
                <w:kern w:val="0"/>
                <w:sz w:val="20"/>
                <w:szCs w:val="20"/>
              </w:rPr>
              <w:t>5.整机电源为：220V±22V，50Hz±1Hz；输入功率：180W；环境温度范围:-15℃～60℃；单台设备可消毒空间≤300立方米；</w:t>
            </w:r>
          </w:p>
          <w:p w14:paraId="1CBFB159">
            <w:pPr>
              <w:widowControl/>
              <w:jc w:val="left"/>
              <w:rPr>
                <w:rFonts w:ascii="宋体" w:hAnsi="宋体" w:eastAsia="宋体" w:cs="宋体"/>
                <w:kern w:val="0"/>
                <w:sz w:val="20"/>
                <w:szCs w:val="20"/>
              </w:rPr>
            </w:pPr>
            <w:r>
              <w:rPr>
                <w:rFonts w:hint="eastAsia" w:ascii="宋体" w:hAnsi="宋体" w:eastAsia="宋体" w:cs="宋体"/>
                <w:kern w:val="0"/>
                <w:sz w:val="20"/>
                <w:szCs w:val="20"/>
              </w:rPr>
              <w:t>6.在消毒模式下，开启消毒模式，持续工作特定的时间，可满足杀灭空气中的有害物质，包括肺炎克雷伯氏菌、白葡萄菌、自然菌、诺如病毒、流感病毒等有害病菌，灭杀率可达到99%；</w:t>
            </w:r>
          </w:p>
          <w:p w14:paraId="400C6721">
            <w:pPr>
              <w:widowControl/>
              <w:jc w:val="left"/>
              <w:rPr>
                <w:rFonts w:ascii="宋体" w:hAnsi="宋体" w:eastAsia="宋体" w:cs="宋体"/>
                <w:kern w:val="0"/>
                <w:sz w:val="20"/>
                <w:szCs w:val="20"/>
              </w:rPr>
            </w:pPr>
            <w:r>
              <w:rPr>
                <w:rFonts w:hint="eastAsia" w:ascii="宋体" w:hAnsi="宋体" w:eastAsia="宋体" w:cs="宋体"/>
                <w:kern w:val="0"/>
                <w:sz w:val="20"/>
                <w:szCs w:val="20"/>
              </w:rPr>
              <w:t>7.风速：≥10m/s，噪声：开机后，工作声音≤65db；</w:t>
            </w:r>
          </w:p>
          <w:p w14:paraId="08DADB18">
            <w:pPr>
              <w:widowControl/>
              <w:jc w:val="left"/>
              <w:rPr>
                <w:rFonts w:ascii="宋体" w:hAnsi="宋体" w:eastAsia="宋体" w:cs="宋体"/>
                <w:kern w:val="0"/>
                <w:sz w:val="20"/>
                <w:szCs w:val="20"/>
              </w:rPr>
            </w:pPr>
            <w:r>
              <w:rPr>
                <w:rFonts w:hint="eastAsia" w:ascii="宋体" w:hAnsi="宋体" w:eastAsia="宋体" w:cs="宋体"/>
                <w:kern w:val="0"/>
                <w:sz w:val="20"/>
                <w:szCs w:val="20"/>
              </w:rPr>
              <w:t>8.设备运行后，开启净化模式，负离子释放量不低于10万/cm³，并通过布朗运动弥漫整个空间，改善空气质量；</w:t>
            </w:r>
          </w:p>
          <w:p w14:paraId="6D14BA33">
            <w:pPr>
              <w:widowControl/>
              <w:jc w:val="left"/>
              <w:rPr>
                <w:rFonts w:ascii="宋体" w:hAnsi="宋体" w:eastAsia="宋体" w:cs="宋体"/>
                <w:kern w:val="0"/>
                <w:sz w:val="20"/>
                <w:szCs w:val="20"/>
              </w:rPr>
            </w:pPr>
            <w:r>
              <w:rPr>
                <w:rFonts w:hint="eastAsia" w:ascii="宋体" w:hAnsi="宋体" w:eastAsia="宋体" w:cs="宋体"/>
                <w:kern w:val="0"/>
                <w:sz w:val="20"/>
                <w:szCs w:val="20"/>
              </w:rPr>
              <w:t>★9.设备运行后PM2.5净化率需达到99.9%；</w:t>
            </w:r>
          </w:p>
          <w:p w14:paraId="7EE81067">
            <w:pPr>
              <w:widowControl/>
              <w:jc w:val="left"/>
              <w:rPr>
                <w:rFonts w:ascii="宋体" w:hAnsi="宋体" w:eastAsia="宋体" w:cs="宋体"/>
                <w:kern w:val="0"/>
                <w:sz w:val="20"/>
                <w:szCs w:val="20"/>
              </w:rPr>
            </w:pPr>
            <w:r>
              <w:rPr>
                <w:rFonts w:hint="eastAsia" w:ascii="宋体" w:hAnsi="宋体" w:eastAsia="宋体" w:cs="宋体"/>
                <w:kern w:val="0"/>
                <w:sz w:val="20"/>
                <w:szCs w:val="20"/>
              </w:rPr>
              <w:t>10.甲型流感病毒H1N1去除率99.9%、人冠状病毒去除率99.9%、肠道病毒71型去除率99.9%、大肠杆菌除菌率99.9%；</w:t>
            </w:r>
          </w:p>
          <w:p w14:paraId="0DC0B876">
            <w:pPr>
              <w:widowControl/>
              <w:jc w:val="left"/>
              <w:rPr>
                <w:rFonts w:ascii="宋体" w:hAnsi="宋体" w:eastAsia="宋体" w:cs="宋体"/>
                <w:kern w:val="0"/>
                <w:sz w:val="20"/>
                <w:szCs w:val="20"/>
              </w:rPr>
            </w:pPr>
            <w:r>
              <w:rPr>
                <w:rFonts w:hint="eastAsia" w:ascii="宋体" w:hAnsi="宋体" w:eastAsia="宋体" w:cs="宋体"/>
                <w:kern w:val="0"/>
                <w:sz w:val="20"/>
                <w:szCs w:val="20"/>
              </w:rPr>
              <w:t>★11.为了保证设备的安全性，设备运行时出风口5cm处臭氧浓度需≤0.005㎎/m³；</w:t>
            </w:r>
          </w:p>
          <w:p w14:paraId="2D7E07C2">
            <w:pPr>
              <w:widowControl/>
              <w:jc w:val="left"/>
              <w:rPr>
                <w:rFonts w:ascii="宋体" w:hAnsi="宋体" w:eastAsia="宋体" w:cs="宋体"/>
                <w:kern w:val="0"/>
                <w:sz w:val="20"/>
                <w:szCs w:val="20"/>
              </w:rPr>
            </w:pPr>
            <w:r>
              <w:rPr>
                <w:rFonts w:hint="eastAsia" w:ascii="宋体" w:hAnsi="宋体" w:eastAsia="宋体" w:cs="宋体"/>
                <w:kern w:val="0"/>
                <w:sz w:val="20"/>
                <w:szCs w:val="20"/>
              </w:rPr>
              <w:t>★12.为了保证设备的安全性，设备运行时出风口20cm处PM10的浓度≤0.005㎎/m³；</w:t>
            </w:r>
          </w:p>
          <w:p w14:paraId="3BD3CA31">
            <w:pPr>
              <w:widowControl/>
              <w:jc w:val="left"/>
              <w:rPr>
                <w:rFonts w:ascii="宋体" w:hAnsi="宋体" w:eastAsia="宋体" w:cs="宋体"/>
                <w:kern w:val="0"/>
                <w:sz w:val="20"/>
                <w:szCs w:val="20"/>
              </w:rPr>
            </w:pPr>
            <w:r>
              <w:rPr>
                <w:rFonts w:hint="eastAsia" w:ascii="宋体" w:hAnsi="宋体" w:eastAsia="宋体" w:cs="宋体"/>
                <w:kern w:val="0"/>
                <w:sz w:val="20"/>
                <w:szCs w:val="20"/>
              </w:rPr>
              <w:t>软件功能：</w:t>
            </w:r>
          </w:p>
          <w:p w14:paraId="6518D8BE">
            <w:pPr>
              <w:widowControl/>
              <w:jc w:val="left"/>
              <w:rPr>
                <w:rFonts w:ascii="宋体" w:hAnsi="宋体" w:eastAsia="宋体" w:cs="宋体"/>
                <w:kern w:val="0"/>
                <w:sz w:val="20"/>
                <w:szCs w:val="20"/>
                <w:lang w:bidi="ar"/>
              </w:rPr>
            </w:pPr>
            <w:r>
              <w:rPr>
                <w:rFonts w:hint="eastAsia" w:ascii="宋体" w:hAnsi="宋体" w:eastAsia="宋体" w:cs="宋体"/>
                <w:kern w:val="0"/>
                <w:sz w:val="20"/>
                <w:szCs w:val="20"/>
                <w:lang w:bidi="ar"/>
              </w:rPr>
              <w:t>1.为了方便用户管理，系统可以支持https访问，手机等作为终端访问系统无需安装第三方客户端软件；</w:t>
            </w:r>
          </w:p>
          <w:p w14:paraId="37A72787">
            <w:pPr>
              <w:widowControl/>
              <w:jc w:val="left"/>
              <w:rPr>
                <w:rFonts w:ascii="宋体" w:hAnsi="宋体" w:eastAsia="宋体" w:cs="宋体"/>
                <w:kern w:val="0"/>
                <w:sz w:val="20"/>
                <w:szCs w:val="20"/>
                <w:lang w:bidi="ar"/>
              </w:rPr>
            </w:pPr>
            <w:r>
              <w:rPr>
                <w:rFonts w:hint="eastAsia" w:ascii="宋体" w:hAnsi="宋体" w:eastAsia="宋体" w:cs="宋体"/>
                <w:kern w:val="0"/>
                <w:sz w:val="20"/>
                <w:szCs w:val="20"/>
                <w:lang w:bidi="ar"/>
              </w:rPr>
              <w:t xml:space="preserve">2.系统运行安全、稳定，能够支持多用户同时在线使用； </w:t>
            </w:r>
          </w:p>
          <w:p w14:paraId="20D5BB55">
            <w:pPr>
              <w:widowControl/>
              <w:jc w:val="left"/>
              <w:rPr>
                <w:rFonts w:ascii="宋体" w:hAnsi="宋体" w:eastAsia="宋体" w:cs="宋体"/>
                <w:kern w:val="0"/>
                <w:sz w:val="20"/>
                <w:szCs w:val="20"/>
                <w:lang w:bidi="ar"/>
              </w:rPr>
            </w:pPr>
            <w:r>
              <w:rPr>
                <w:rFonts w:hint="eastAsia" w:ascii="宋体" w:hAnsi="宋体" w:eastAsia="宋体" w:cs="宋体"/>
                <w:kern w:val="0"/>
                <w:sz w:val="20"/>
                <w:szCs w:val="20"/>
                <w:lang w:bidi="ar"/>
              </w:rPr>
              <w:t>3.支持给每个用户的权限可控制具体的功能操作，如添加、修改、保存、删除以及对物联网设备的使用控制等；</w:t>
            </w:r>
          </w:p>
          <w:p w14:paraId="59126D74">
            <w:pPr>
              <w:widowControl/>
              <w:jc w:val="left"/>
              <w:rPr>
                <w:rFonts w:ascii="宋体" w:hAnsi="宋体" w:eastAsia="宋体" w:cs="宋体"/>
                <w:bCs/>
                <w:kern w:val="0"/>
                <w:sz w:val="20"/>
                <w:szCs w:val="20"/>
                <w:lang w:bidi="ar"/>
              </w:rPr>
            </w:pPr>
            <w:r>
              <w:rPr>
                <w:rFonts w:hint="eastAsia" w:ascii="宋体" w:hAnsi="宋体" w:eastAsia="宋体" w:cs="宋体"/>
                <w:bCs/>
                <w:kern w:val="0"/>
                <w:sz w:val="20"/>
                <w:szCs w:val="20"/>
                <w:lang w:bidi="ar"/>
              </w:rPr>
              <w:t>4.为便于设备的维护查看运行状态，控制平台实时显示总的设备台数、在线设备台数、离线设备台数；监测平台显示空气中PM2.5、PM10、TVOC、甲醛的有害物质含量并每二分钟更新一次的数据截图。（响应文件中需提供以上功能界面截图</w:t>
            </w:r>
            <w:r>
              <w:rPr>
                <w:rFonts w:hint="eastAsia" w:ascii="宋体" w:hAnsi="宋体" w:eastAsia="宋体" w:cs="宋体"/>
                <w:bCs/>
                <w:sz w:val="20"/>
                <w:szCs w:val="20"/>
              </w:rPr>
              <w:t>加以佐证）</w:t>
            </w:r>
          </w:p>
          <w:p w14:paraId="0D5B9234">
            <w:pPr>
              <w:widowControl/>
              <w:jc w:val="left"/>
              <w:rPr>
                <w:rFonts w:ascii="宋体" w:hAnsi="宋体" w:eastAsia="宋体" w:cs="宋体"/>
                <w:kern w:val="0"/>
                <w:sz w:val="20"/>
                <w:szCs w:val="20"/>
                <w:lang w:bidi="ar"/>
              </w:rPr>
            </w:pPr>
            <w:r>
              <w:rPr>
                <w:rFonts w:hint="eastAsia" w:ascii="宋体" w:hAnsi="宋体" w:eastAsia="宋体" w:cs="宋体"/>
                <w:kern w:val="0"/>
                <w:sz w:val="20"/>
                <w:szCs w:val="20"/>
                <w:lang w:bidi="ar"/>
              </w:rPr>
              <w:t>5.可以在系统内统一管理设备的基础信息，包括设备编号、地点名称、设备名称、设备状态等信息，可以通过设备编号进行设备的统计和管理；</w:t>
            </w:r>
          </w:p>
          <w:p w14:paraId="5E63084E">
            <w:pPr>
              <w:widowControl/>
              <w:jc w:val="left"/>
              <w:rPr>
                <w:rFonts w:ascii="宋体" w:hAnsi="宋体" w:eastAsia="宋体" w:cs="宋体"/>
                <w:kern w:val="0"/>
                <w:sz w:val="20"/>
                <w:szCs w:val="20"/>
                <w:lang w:bidi="ar"/>
              </w:rPr>
            </w:pPr>
            <w:r>
              <w:rPr>
                <w:rFonts w:hint="eastAsia" w:ascii="宋体" w:hAnsi="宋体" w:eastAsia="宋体" w:cs="宋体"/>
                <w:kern w:val="0"/>
                <w:sz w:val="20"/>
                <w:szCs w:val="20"/>
                <w:lang w:bidi="ar"/>
              </w:rPr>
              <w:t>6.实时查看设备的使用记录，包括臭氧的消杀记录、负离子的释放时间，根据每台设备每天的工作情况形成统一格式的报表数据，可以查看每台设备的工作时长；</w:t>
            </w:r>
          </w:p>
          <w:p w14:paraId="507623AF">
            <w:pPr>
              <w:widowControl/>
              <w:jc w:val="left"/>
              <w:rPr>
                <w:rFonts w:ascii="宋体" w:hAnsi="宋体" w:eastAsia="宋体" w:cs="宋体"/>
                <w:sz w:val="20"/>
                <w:szCs w:val="20"/>
              </w:rPr>
            </w:pPr>
            <w:r>
              <w:rPr>
                <w:rFonts w:hint="eastAsia" w:ascii="宋体" w:hAnsi="宋体" w:eastAsia="宋体" w:cs="宋体"/>
                <w:kern w:val="0"/>
                <w:sz w:val="20"/>
                <w:szCs w:val="20"/>
                <w:lang w:bidi="ar"/>
              </w:rPr>
              <w:t>7.远程控制设备平台消毒控制中，</w:t>
            </w:r>
            <w:r>
              <w:rPr>
                <w:rFonts w:hint="eastAsia" w:ascii="宋体" w:hAnsi="宋体" w:eastAsia="宋体" w:cs="宋体"/>
                <w:sz w:val="20"/>
                <w:szCs w:val="20"/>
              </w:rPr>
              <w:t>有自动控制、手动控制、AI模式、风速调节四个模块对设备进行切换控制；</w:t>
            </w:r>
          </w:p>
          <w:p w14:paraId="21B630FC">
            <w:pPr>
              <w:widowControl/>
              <w:jc w:val="left"/>
              <w:rPr>
                <w:rFonts w:ascii="宋体" w:hAnsi="宋体" w:eastAsia="宋体" w:cs="宋体"/>
                <w:sz w:val="20"/>
                <w:szCs w:val="20"/>
              </w:rPr>
            </w:pPr>
            <w:r>
              <w:rPr>
                <w:rFonts w:hint="eastAsia" w:ascii="宋体" w:hAnsi="宋体" w:eastAsia="宋体" w:cs="宋体"/>
                <w:kern w:val="0"/>
                <w:sz w:val="20"/>
                <w:szCs w:val="20"/>
                <w:lang w:bidi="ar"/>
              </w:rPr>
              <w:t>8.设备运行时，可以对机器进行风量调节，分别为高中低三档；</w:t>
            </w:r>
          </w:p>
          <w:p w14:paraId="52709E2B">
            <w:pPr>
              <w:rPr>
                <w:rFonts w:ascii="宋体" w:hAnsi="宋体" w:eastAsia="宋体" w:cs="宋体"/>
                <w:sz w:val="20"/>
                <w:szCs w:val="20"/>
              </w:rPr>
            </w:pPr>
            <w:r>
              <w:rPr>
                <w:rFonts w:hint="eastAsia" w:ascii="宋体" w:hAnsi="宋体" w:eastAsia="宋体" w:cs="宋体"/>
                <w:sz w:val="20"/>
                <w:szCs w:val="20"/>
              </w:rPr>
              <w:t>9.设备在AI模式下，夜间23:00-1:00之间随机分段消毒合计60min，默认中风速；</w:t>
            </w:r>
          </w:p>
          <w:p w14:paraId="70A8EEDF">
            <w:pPr>
              <w:widowControl/>
              <w:jc w:val="left"/>
              <w:rPr>
                <w:rFonts w:ascii="宋体" w:hAnsi="宋体" w:eastAsia="宋体" w:cs="宋体"/>
                <w:kern w:val="0"/>
                <w:sz w:val="20"/>
                <w:szCs w:val="20"/>
                <w:lang w:bidi="ar"/>
              </w:rPr>
            </w:pPr>
            <w:r>
              <w:rPr>
                <w:rFonts w:hint="eastAsia" w:ascii="宋体" w:hAnsi="宋体" w:eastAsia="宋体" w:cs="宋体"/>
                <w:sz w:val="20"/>
                <w:szCs w:val="20"/>
              </w:rPr>
              <w:t>10.监测平台中，体现设备耗材光触媒的使用寿命，不低于3600小时；</w:t>
            </w:r>
          </w:p>
          <w:p w14:paraId="5BFAFA44">
            <w:pPr>
              <w:widowControl/>
              <w:jc w:val="left"/>
              <w:rPr>
                <w:rFonts w:ascii="宋体" w:hAnsi="宋体" w:eastAsia="宋体" w:cs="宋体"/>
                <w:kern w:val="0"/>
                <w:sz w:val="20"/>
                <w:szCs w:val="20"/>
              </w:rPr>
            </w:pPr>
            <w:r>
              <w:rPr>
                <w:rFonts w:hint="eastAsia" w:ascii="宋体" w:hAnsi="宋体" w:eastAsia="宋体" w:cs="宋体"/>
                <w:sz w:val="20"/>
                <w:szCs w:val="20"/>
              </w:rPr>
              <w:t>11.监测平台中，体现使用空间内TVOC含量的折线图。</w:t>
            </w:r>
          </w:p>
        </w:tc>
        <w:tc>
          <w:tcPr>
            <w:tcW w:w="683" w:type="dxa"/>
            <w:shd w:val="clear" w:color="auto" w:fill="auto"/>
            <w:noWrap/>
            <w:vAlign w:val="center"/>
          </w:tcPr>
          <w:p w14:paraId="1FA0EBF1">
            <w:pPr>
              <w:jc w:val="center"/>
              <w:rPr>
                <w:rFonts w:ascii="宋体" w:hAnsi="宋体" w:eastAsia="宋体"/>
                <w:color w:val="000000"/>
                <w:sz w:val="20"/>
                <w:szCs w:val="20"/>
              </w:rPr>
            </w:pPr>
            <w:r>
              <w:rPr>
                <w:rFonts w:hint="eastAsia" w:ascii="宋体" w:hAnsi="宋体" w:eastAsia="宋体"/>
                <w:color w:val="000000"/>
                <w:sz w:val="20"/>
                <w:szCs w:val="20"/>
              </w:rPr>
              <w:t>台</w:t>
            </w:r>
          </w:p>
        </w:tc>
        <w:tc>
          <w:tcPr>
            <w:tcW w:w="681" w:type="dxa"/>
            <w:shd w:val="clear" w:color="auto" w:fill="auto"/>
            <w:noWrap/>
            <w:vAlign w:val="center"/>
          </w:tcPr>
          <w:p w14:paraId="1B5A958C">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79681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664" w:type="dxa"/>
            <w:vAlign w:val="center"/>
          </w:tcPr>
          <w:p w14:paraId="06297F23">
            <w:pPr>
              <w:jc w:val="center"/>
              <w:rPr>
                <w:rFonts w:ascii="宋体" w:hAnsi="宋体" w:eastAsia="宋体"/>
                <w:sz w:val="20"/>
                <w:szCs w:val="20"/>
              </w:rPr>
            </w:pPr>
            <w:r>
              <w:rPr>
                <w:rFonts w:hint="eastAsia" w:ascii="宋体" w:hAnsi="宋体" w:eastAsia="宋体"/>
                <w:sz w:val="20"/>
                <w:szCs w:val="20"/>
              </w:rPr>
              <w:t>1</w:t>
            </w:r>
            <w:r>
              <w:rPr>
                <w:rFonts w:ascii="宋体" w:hAnsi="宋体" w:eastAsia="宋体"/>
                <w:sz w:val="20"/>
                <w:szCs w:val="20"/>
              </w:rPr>
              <w:t>5</w:t>
            </w:r>
          </w:p>
        </w:tc>
        <w:tc>
          <w:tcPr>
            <w:tcW w:w="1550" w:type="dxa"/>
            <w:shd w:val="clear" w:color="auto" w:fill="auto"/>
            <w:noWrap/>
            <w:vAlign w:val="center"/>
          </w:tcPr>
          <w:p w14:paraId="4B31E384">
            <w:pPr>
              <w:rPr>
                <w:rFonts w:ascii="宋体" w:hAnsi="宋体" w:eastAsia="宋体"/>
                <w:sz w:val="20"/>
                <w:szCs w:val="20"/>
              </w:rPr>
            </w:pPr>
            <w:r>
              <w:rPr>
                <w:rFonts w:hint="eastAsia" w:ascii="宋体" w:hAnsi="宋体" w:eastAsia="宋体"/>
                <w:sz w:val="20"/>
                <w:szCs w:val="20"/>
              </w:rPr>
              <w:t>音乐北楼104、105改造（290平米）</w:t>
            </w:r>
          </w:p>
        </w:tc>
        <w:tc>
          <w:tcPr>
            <w:tcW w:w="7200" w:type="dxa"/>
            <w:shd w:val="clear" w:color="auto" w:fill="auto"/>
            <w:noWrap/>
            <w:vAlign w:val="center"/>
          </w:tcPr>
          <w:p w14:paraId="255C7EB7">
            <w:pPr>
              <w:widowControl/>
              <w:jc w:val="left"/>
              <w:rPr>
                <w:rFonts w:ascii="宋体" w:hAnsi="宋体" w:eastAsia="宋体" w:cs="宋体"/>
                <w:kern w:val="0"/>
                <w:sz w:val="20"/>
                <w:szCs w:val="20"/>
              </w:rPr>
            </w:pPr>
            <w:r>
              <w:rPr>
                <w:rFonts w:hint="eastAsia" w:ascii="宋体" w:hAnsi="宋体" w:eastAsia="宋体" w:cs="宋体"/>
                <w:kern w:val="0"/>
                <w:sz w:val="20"/>
                <w:szCs w:val="20"/>
              </w:rPr>
              <w:t>1.原有健身器材拆卸、搬运至美术北楼安装。</w:t>
            </w:r>
          </w:p>
          <w:p w14:paraId="13C6EDF5">
            <w:pPr>
              <w:widowControl/>
              <w:jc w:val="left"/>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w:t>
            </w:r>
            <w:r>
              <w:rPr>
                <w:rFonts w:hint="eastAsia" w:ascii="宋体" w:hAnsi="宋体" w:eastAsia="宋体" w:cs="宋体"/>
                <w:kern w:val="0"/>
                <w:sz w:val="20"/>
                <w:szCs w:val="20"/>
              </w:rPr>
              <w:t>原有墙面镜子、压腿把杆、更衣柜、投影仪、投影幕拆卸搬运至指定地点并安装。</w:t>
            </w:r>
          </w:p>
          <w:p w14:paraId="03AEDFE3">
            <w:pPr>
              <w:widowControl/>
              <w:jc w:val="left"/>
              <w:rPr>
                <w:rFonts w:ascii="宋体" w:hAnsi="宋体" w:eastAsia="宋体" w:cs="宋体"/>
                <w:kern w:val="0"/>
                <w:sz w:val="20"/>
                <w:szCs w:val="20"/>
              </w:rPr>
            </w:pPr>
            <w:r>
              <w:rPr>
                <w:rFonts w:hint="eastAsia" w:ascii="宋体" w:hAnsi="宋体" w:eastAsia="宋体" w:cs="宋体"/>
                <w:kern w:val="0"/>
                <w:sz w:val="20"/>
                <w:szCs w:val="20"/>
              </w:rPr>
              <w:t>3</w:t>
            </w:r>
            <w:r>
              <w:rPr>
                <w:rFonts w:ascii="宋体" w:hAnsi="宋体" w:eastAsia="宋体" w:cs="宋体"/>
                <w:kern w:val="0"/>
                <w:sz w:val="20"/>
                <w:szCs w:val="20"/>
              </w:rPr>
              <w:t>.</w:t>
            </w:r>
            <w:r>
              <w:rPr>
                <w:rFonts w:hint="eastAsia" w:ascii="宋体" w:hAnsi="宋体" w:eastAsia="宋体" w:cs="宋体"/>
                <w:kern w:val="0"/>
                <w:sz w:val="20"/>
                <w:szCs w:val="20"/>
              </w:rPr>
              <w:t>原有照明灯具全部升至顶平，照度不足情况下需增加灯具，含电路改造。</w:t>
            </w:r>
          </w:p>
          <w:p w14:paraId="2012D870">
            <w:pPr>
              <w:widowControl/>
              <w:jc w:val="left"/>
              <w:rPr>
                <w:rFonts w:ascii="宋体" w:hAnsi="宋体" w:eastAsia="宋体" w:cs="宋体"/>
                <w:kern w:val="0"/>
                <w:sz w:val="20"/>
                <w:szCs w:val="20"/>
              </w:rPr>
            </w:pPr>
            <w:r>
              <w:rPr>
                <w:rFonts w:hint="eastAsia" w:ascii="宋体" w:hAnsi="宋体" w:eastAsia="宋体" w:cs="宋体"/>
                <w:kern w:val="0"/>
                <w:sz w:val="20"/>
                <w:szCs w:val="20"/>
              </w:rPr>
              <w:t>4</w:t>
            </w:r>
            <w:r>
              <w:rPr>
                <w:rFonts w:ascii="宋体" w:hAnsi="宋体" w:eastAsia="宋体" w:cs="宋体"/>
                <w:kern w:val="0"/>
                <w:sz w:val="20"/>
                <w:szCs w:val="20"/>
              </w:rPr>
              <w:t>.</w:t>
            </w:r>
            <w:r>
              <w:rPr>
                <w:rFonts w:hint="eastAsia" w:ascii="宋体" w:hAnsi="宋体" w:eastAsia="宋体" w:cs="宋体"/>
                <w:kern w:val="0"/>
                <w:sz w:val="20"/>
                <w:szCs w:val="20"/>
              </w:rPr>
              <w:t>墙面刷白。</w:t>
            </w:r>
          </w:p>
          <w:p w14:paraId="02C00493">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5</w:t>
            </w:r>
            <w:r>
              <w:rPr>
                <w:rFonts w:ascii="宋体" w:hAnsi="宋体" w:eastAsia="宋体" w:cs="宋体"/>
                <w:kern w:val="0"/>
                <w:sz w:val="20"/>
                <w:szCs w:val="20"/>
              </w:rPr>
              <w:t>.</w:t>
            </w:r>
            <w:r>
              <w:rPr>
                <w:rFonts w:hint="eastAsia" w:ascii="宋体" w:hAnsi="宋体" w:eastAsia="宋体" w:cs="宋体"/>
                <w:kern w:val="0"/>
                <w:sz w:val="20"/>
                <w:szCs w:val="20"/>
              </w:rPr>
              <w:t>原有运动地板修复。</w:t>
            </w:r>
          </w:p>
        </w:tc>
        <w:tc>
          <w:tcPr>
            <w:tcW w:w="683" w:type="dxa"/>
            <w:shd w:val="clear" w:color="auto" w:fill="auto"/>
            <w:noWrap/>
            <w:vAlign w:val="center"/>
          </w:tcPr>
          <w:p w14:paraId="62F2138D">
            <w:pPr>
              <w:jc w:val="center"/>
              <w:rPr>
                <w:rFonts w:ascii="宋体" w:hAnsi="宋体" w:eastAsia="宋体"/>
                <w:color w:val="000000"/>
                <w:sz w:val="20"/>
                <w:szCs w:val="20"/>
              </w:rPr>
            </w:pPr>
            <w:r>
              <w:rPr>
                <w:rFonts w:hint="eastAsia" w:ascii="宋体" w:hAnsi="宋体" w:eastAsia="宋体"/>
                <w:color w:val="000000"/>
                <w:sz w:val="20"/>
                <w:szCs w:val="20"/>
              </w:rPr>
              <w:t>项</w:t>
            </w:r>
            <w:r>
              <w:rPr>
                <w:rFonts w:ascii="宋体" w:hAnsi="宋体" w:eastAsia="宋体"/>
                <w:color w:val="000000"/>
                <w:sz w:val="20"/>
                <w:szCs w:val="20"/>
              </w:rPr>
              <w:t xml:space="preserve"> </w:t>
            </w:r>
          </w:p>
        </w:tc>
        <w:tc>
          <w:tcPr>
            <w:tcW w:w="681" w:type="dxa"/>
            <w:shd w:val="clear" w:color="auto" w:fill="auto"/>
            <w:noWrap/>
            <w:vAlign w:val="center"/>
          </w:tcPr>
          <w:p w14:paraId="2C192F2F">
            <w:pPr>
              <w:jc w:val="center"/>
              <w:rPr>
                <w:rFonts w:ascii="宋体" w:hAnsi="宋体" w:eastAsia="宋体"/>
                <w:color w:val="000000"/>
                <w:sz w:val="20"/>
                <w:szCs w:val="20"/>
              </w:rPr>
            </w:pPr>
            <w:r>
              <w:rPr>
                <w:rFonts w:hint="eastAsia" w:ascii="宋体" w:hAnsi="宋体" w:eastAsia="宋体"/>
                <w:color w:val="000000"/>
                <w:sz w:val="20"/>
                <w:szCs w:val="20"/>
              </w:rPr>
              <w:t>1</w:t>
            </w:r>
          </w:p>
        </w:tc>
      </w:tr>
    </w:tbl>
    <w:p w14:paraId="4ED372C8">
      <w:pPr>
        <w:keepNext w:val="0"/>
        <w:keepLines w:val="0"/>
        <w:pageBreakBefore w:val="0"/>
        <w:widowControl w:val="0"/>
        <w:kinsoku/>
        <w:wordWrap/>
        <w:overflowPunct/>
        <w:topLinePunct w:val="0"/>
        <w:autoSpaceDE/>
        <w:autoSpaceDN/>
        <w:bidi w:val="0"/>
        <w:adjustRightInd w:val="0"/>
        <w:snapToGrid/>
        <w:spacing w:line="360" w:lineRule="auto"/>
        <w:textAlignment w:val="auto"/>
        <w:rPr>
          <w:rFonts w:hint="eastAsia" w:ascii="宋体" w:hAnsi="宋体" w:eastAsia="宋体"/>
          <w:sz w:val="22"/>
          <w:szCs w:val="22"/>
        </w:rPr>
      </w:pPr>
    </w:p>
    <w:p w14:paraId="7496B6C9">
      <w:pPr>
        <w:keepNext w:val="0"/>
        <w:keepLines w:val="0"/>
        <w:pageBreakBefore w:val="0"/>
        <w:widowControl w:val="0"/>
        <w:kinsoku/>
        <w:wordWrap/>
        <w:overflowPunct/>
        <w:topLinePunct w:val="0"/>
        <w:autoSpaceDE/>
        <w:autoSpaceDN/>
        <w:bidi w:val="0"/>
        <w:adjustRightInd w:val="0"/>
        <w:snapToGrid/>
        <w:spacing w:line="360" w:lineRule="auto"/>
        <w:textAlignment w:val="auto"/>
        <w:rPr>
          <w:rFonts w:ascii="宋体" w:hAnsi="宋体" w:eastAsia="宋体"/>
          <w:sz w:val="22"/>
          <w:szCs w:val="22"/>
        </w:rPr>
      </w:pPr>
      <w:r>
        <w:rPr>
          <w:rFonts w:hint="eastAsia" w:ascii="宋体" w:hAnsi="宋体" w:eastAsia="宋体"/>
          <w:sz w:val="22"/>
          <w:szCs w:val="22"/>
        </w:rPr>
        <w:t>备注：</w:t>
      </w:r>
    </w:p>
    <w:p w14:paraId="1E7EB745">
      <w:pPr>
        <w:keepNext w:val="0"/>
        <w:keepLines w:val="0"/>
        <w:pageBreakBefore w:val="0"/>
        <w:widowControl w:val="0"/>
        <w:kinsoku/>
        <w:wordWrap/>
        <w:overflowPunct/>
        <w:topLinePunct w:val="0"/>
        <w:autoSpaceDE/>
        <w:autoSpaceDN/>
        <w:bidi w:val="0"/>
        <w:adjustRightInd w:val="0"/>
        <w:snapToGrid/>
        <w:spacing w:line="360" w:lineRule="auto"/>
        <w:textAlignment w:val="auto"/>
        <w:rPr>
          <w:rFonts w:ascii="宋体" w:hAnsi="宋体" w:eastAsia="宋体"/>
          <w:sz w:val="22"/>
          <w:szCs w:val="22"/>
        </w:rPr>
      </w:pPr>
      <w:r>
        <w:rPr>
          <w:rFonts w:ascii="宋体" w:hAnsi="宋体" w:eastAsia="宋体"/>
          <w:sz w:val="22"/>
          <w:szCs w:val="22"/>
        </w:rPr>
        <w:t>1</w:t>
      </w:r>
      <w:r>
        <w:rPr>
          <w:rFonts w:hint="eastAsia" w:ascii="宋体" w:hAnsi="宋体" w:eastAsia="宋体"/>
          <w:sz w:val="22"/>
          <w:szCs w:val="22"/>
        </w:rPr>
        <w:t>、上述标注带★的技术参数及功能点，响应文件中需提供所投产品制造商的带</w:t>
      </w:r>
      <w:r>
        <w:rPr>
          <w:rFonts w:hint="eastAsia" w:ascii="宋体" w:hAnsi="宋体" w:eastAsia="宋体" w:cs="宋体"/>
          <w:sz w:val="22"/>
          <w:szCs w:val="22"/>
        </w:rPr>
        <w:t>CMA标志的</w:t>
      </w:r>
      <w:r>
        <w:rPr>
          <w:rFonts w:hint="eastAsia" w:ascii="宋体" w:hAnsi="宋体" w:eastAsia="宋体"/>
          <w:sz w:val="22"/>
          <w:szCs w:val="22"/>
        </w:rPr>
        <w:t>检测报告影印件进行佐证，运动地板产品检测报告还需提供国家认证认可监督管理委员会官网（</w:t>
      </w:r>
      <w:r>
        <w:rPr>
          <w:rFonts w:ascii="宋体" w:hAnsi="宋体" w:eastAsia="宋体"/>
          <w:sz w:val="22"/>
          <w:szCs w:val="22"/>
        </w:rPr>
        <w:t>www.cnca.gov.cn）查询截图</w:t>
      </w:r>
      <w:r>
        <w:rPr>
          <w:rFonts w:hint="eastAsia" w:ascii="宋体" w:hAnsi="宋体" w:eastAsia="宋体"/>
          <w:sz w:val="22"/>
          <w:szCs w:val="22"/>
        </w:rPr>
        <w:t>，检测报告原件中标后签订合同前核验。</w:t>
      </w:r>
    </w:p>
    <w:p w14:paraId="4F1BA99F">
      <w:pPr>
        <w:keepNext w:val="0"/>
        <w:keepLines w:val="0"/>
        <w:pageBreakBefore w:val="0"/>
        <w:widowControl w:val="0"/>
        <w:kinsoku/>
        <w:wordWrap/>
        <w:overflowPunct/>
        <w:topLinePunct w:val="0"/>
        <w:autoSpaceDE/>
        <w:autoSpaceDN/>
        <w:bidi w:val="0"/>
        <w:adjustRightInd w:val="0"/>
        <w:snapToGrid/>
        <w:spacing w:line="360" w:lineRule="auto"/>
        <w:textAlignment w:val="auto"/>
        <w:rPr>
          <w:rFonts w:ascii="宋体" w:hAnsi="宋体" w:eastAsia="宋体"/>
          <w:sz w:val="22"/>
          <w:szCs w:val="22"/>
        </w:rPr>
      </w:pPr>
      <w:r>
        <w:rPr>
          <w:rFonts w:ascii="宋体" w:hAnsi="宋体" w:eastAsia="宋体"/>
          <w:sz w:val="22"/>
          <w:szCs w:val="22"/>
        </w:rPr>
        <w:t>2</w:t>
      </w:r>
      <w:r>
        <w:rPr>
          <w:rFonts w:hint="eastAsia" w:ascii="宋体" w:hAnsi="宋体" w:eastAsia="宋体"/>
          <w:sz w:val="22"/>
          <w:szCs w:val="22"/>
        </w:rPr>
        <w:t>、因本次所采购设备具有一定安全隐患，中标人在中标后三个工作日内需提供所投单杠、双杠及其保护垫的样品供采购人核验，核验合格后方可签订采购合同，如在规定时间内不提供、提供不全或提供的样品与响应情况不一致、存在弄虚作假行为的，采购人有权解除合同并上报监管部门处理，由此造成的全部损失由中标人承担。</w:t>
      </w:r>
    </w:p>
    <w:p w14:paraId="58785D73">
      <w:pPr>
        <w:jc w:val="left"/>
        <w:rPr>
          <w:rFonts w:hint="eastAsia" w:ascii="Times New Roman" w:hAnsi="Times New Roman" w:eastAsia="宋体" w:cs="Times New Roman"/>
          <w:b/>
          <w:bCs/>
          <w:sz w:val="28"/>
          <w:szCs w:val="28"/>
          <w:lang w:val="en-US" w:eastAsia="zh-CN"/>
        </w:rPr>
      </w:pPr>
    </w:p>
    <w:p w14:paraId="70D96D7A">
      <w:pPr>
        <w:jc w:val="left"/>
        <w:rPr>
          <w:rFonts w:hint="eastAsia" w:ascii="Times New Roman" w:hAnsi="Times New Roman" w:eastAsia="宋体" w:cs="Times New Roman"/>
          <w:b/>
          <w:bCs/>
          <w:sz w:val="28"/>
          <w:szCs w:val="28"/>
          <w:lang w:val="en-US" w:eastAsia="zh-CN"/>
        </w:rPr>
      </w:pPr>
    </w:p>
    <w:p w14:paraId="130245CA">
      <w:pPr>
        <w:jc w:val="left"/>
        <w:rPr>
          <w:rFonts w:hint="eastAsia" w:ascii="Times New Roman" w:hAnsi="Times New Roman" w:eastAsia="宋体" w:cs="Times New Roman"/>
          <w:b/>
          <w:bCs/>
          <w:sz w:val="28"/>
          <w:szCs w:val="28"/>
          <w:lang w:val="en-US" w:eastAsia="zh-CN"/>
        </w:rPr>
      </w:pPr>
    </w:p>
    <w:p w14:paraId="5101C476">
      <w:pPr>
        <w:jc w:val="left"/>
        <w:rPr>
          <w:rFonts w:hint="eastAsia" w:ascii="Times New Roman" w:hAnsi="Times New Roman" w:eastAsia="宋体" w:cs="Times New Roman"/>
          <w:b/>
          <w:bCs/>
          <w:sz w:val="28"/>
          <w:szCs w:val="28"/>
          <w:lang w:val="en-US" w:eastAsia="zh-CN"/>
        </w:rPr>
      </w:pPr>
    </w:p>
    <w:p w14:paraId="06462882">
      <w:pPr>
        <w:jc w:val="left"/>
        <w:rPr>
          <w:rFonts w:hint="eastAsia" w:ascii="Times New Roman" w:hAnsi="Times New Roman" w:eastAsia="宋体" w:cs="Times New Roman"/>
          <w:b/>
          <w:bCs/>
          <w:sz w:val="28"/>
          <w:szCs w:val="28"/>
          <w:lang w:val="en-US" w:eastAsia="zh-CN"/>
        </w:rPr>
      </w:pPr>
    </w:p>
    <w:p w14:paraId="7900841D">
      <w:pPr>
        <w:jc w:val="left"/>
        <w:rPr>
          <w:rFonts w:hint="eastAsia" w:ascii="Times New Roman" w:hAnsi="Times New Roman" w:eastAsia="宋体" w:cs="Times New Roman"/>
          <w:b/>
          <w:bCs/>
          <w:sz w:val="28"/>
          <w:szCs w:val="28"/>
          <w:lang w:val="en-US" w:eastAsia="zh-CN"/>
        </w:rPr>
      </w:pPr>
    </w:p>
    <w:p w14:paraId="4ADA9310">
      <w:pPr>
        <w:jc w:val="left"/>
        <w:rPr>
          <w:rFonts w:hint="eastAsia" w:ascii="Times New Roman" w:hAnsi="Times New Roman" w:eastAsia="宋体" w:cs="Times New Roman"/>
          <w:b/>
          <w:bCs/>
          <w:sz w:val="28"/>
          <w:szCs w:val="28"/>
          <w:lang w:val="en-US" w:eastAsia="zh-CN"/>
        </w:rPr>
      </w:pPr>
    </w:p>
    <w:p w14:paraId="00EF4758">
      <w:pPr>
        <w:jc w:val="left"/>
        <w:rPr>
          <w:rFonts w:hint="eastAsia" w:ascii="Times New Roman" w:hAnsi="Times New Roman" w:eastAsia="宋体" w:cs="Times New Roman"/>
          <w:b/>
          <w:bCs/>
          <w:sz w:val="28"/>
          <w:szCs w:val="28"/>
          <w:lang w:val="en-US" w:eastAsia="zh-CN"/>
        </w:rPr>
      </w:pPr>
    </w:p>
    <w:p w14:paraId="50403C62">
      <w:pPr>
        <w:jc w:val="left"/>
        <w:rPr>
          <w:rFonts w:hint="eastAsia" w:ascii="Times New Roman" w:hAnsi="Times New Roman" w:eastAsia="宋体" w:cs="Times New Roman"/>
          <w:b/>
          <w:bCs/>
          <w:sz w:val="28"/>
          <w:szCs w:val="28"/>
          <w:lang w:val="en-US" w:eastAsia="zh-CN"/>
        </w:rPr>
      </w:pPr>
    </w:p>
    <w:p w14:paraId="3476BBDE">
      <w:pPr>
        <w:jc w:val="left"/>
        <w:rPr>
          <w:rFonts w:hint="eastAsia" w:ascii="Times New Roman" w:hAnsi="Times New Roman" w:eastAsia="宋体" w:cs="Times New Roman"/>
          <w:b/>
          <w:bCs/>
          <w:sz w:val="28"/>
          <w:szCs w:val="28"/>
          <w:lang w:val="en-US" w:eastAsia="zh-CN"/>
        </w:rPr>
      </w:pPr>
    </w:p>
    <w:p w14:paraId="6A3A0071">
      <w:pPr>
        <w:jc w:val="left"/>
        <w:rPr>
          <w:rFonts w:hint="eastAsia" w:ascii="Times New Roman" w:hAnsi="Times New Roman" w:eastAsia="宋体" w:cs="Times New Roman"/>
          <w:b/>
          <w:bCs/>
          <w:sz w:val="28"/>
          <w:szCs w:val="28"/>
          <w:lang w:val="en-US" w:eastAsia="zh-CN"/>
        </w:rPr>
      </w:pPr>
    </w:p>
    <w:p w14:paraId="4C1BF877">
      <w:pPr>
        <w:jc w:val="left"/>
        <w:rPr>
          <w:rFonts w:hint="eastAsia" w:ascii="Times New Roman" w:hAnsi="Times New Roman" w:eastAsia="宋体" w:cs="Times New Roman"/>
          <w:b/>
          <w:bCs/>
          <w:sz w:val="28"/>
          <w:szCs w:val="28"/>
          <w:lang w:val="en-US" w:eastAsia="zh-CN"/>
        </w:rPr>
      </w:pPr>
    </w:p>
    <w:p w14:paraId="7929F682">
      <w:pPr>
        <w:jc w:val="left"/>
        <w:rPr>
          <w:rFonts w:hint="eastAsia" w:ascii="Times New Roman" w:hAnsi="Times New Roman" w:eastAsia="宋体" w:cs="Times New Roman"/>
          <w:b/>
          <w:bCs/>
          <w:sz w:val="28"/>
          <w:szCs w:val="28"/>
          <w:lang w:val="en-US" w:eastAsia="zh-CN"/>
        </w:rPr>
      </w:pPr>
    </w:p>
    <w:p w14:paraId="6593FC6B">
      <w:pPr>
        <w:jc w:val="left"/>
        <w:rPr>
          <w:rFonts w:hint="eastAsia" w:ascii="Times New Roman" w:hAnsi="Times New Roman" w:eastAsia="宋体" w:cs="Times New Roman"/>
          <w:b/>
          <w:bCs/>
          <w:sz w:val="28"/>
          <w:szCs w:val="28"/>
          <w:lang w:val="en-US" w:eastAsia="zh-CN"/>
        </w:rPr>
      </w:pPr>
    </w:p>
    <w:p w14:paraId="0EE1137C">
      <w:pPr>
        <w:jc w:val="left"/>
        <w:rPr>
          <w:rFonts w:hint="eastAsia" w:ascii="Times New Roman" w:hAnsi="Times New Roman" w:eastAsia="宋体" w:cs="Times New Roman"/>
          <w:b/>
          <w:bCs/>
          <w:sz w:val="28"/>
          <w:szCs w:val="28"/>
          <w:lang w:val="en-US" w:eastAsia="zh-CN"/>
        </w:rPr>
      </w:pPr>
    </w:p>
    <w:p w14:paraId="2D0E3C9C">
      <w:pPr>
        <w:jc w:val="left"/>
        <w:rPr>
          <w:rFonts w:hint="eastAsia" w:ascii="Times New Roman" w:hAnsi="Times New Roman" w:eastAsia="宋体" w:cs="Times New Roman"/>
          <w:b/>
          <w:bCs/>
          <w:sz w:val="28"/>
          <w:szCs w:val="28"/>
          <w:lang w:val="en-US" w:eastAsia="zh-CN"/>
        </w:rPr>
      </w:pPr>
    </w:p>
    <w:p w14:paraId="6FD4F6A5">
      <w:pPr>
        <w:jc w:val="left"/>
        <w:rPr>
          <w:rFonts w:hint="eastAsia" w:ascii="Times New Roman" w:hAnsi="Times New Roman" w:eastAsia="宋体" w:cs="Times New Roman"/>
          <w:b/>
          <w:bCs/>
          <w:sz w:val="28"/>
          <w:szCs w:val="28"/>
          <w:lang w:val="en-US" w:eastAsia="zh-CN"/>
        </w:rPr>
      </w:pPr>
    </w:p>
    <w:p w14:paraId="7CEAFB17">
      <w:pPr>
        <w:jc w:val="left"/>
        <w:rPr>
          <w:rFonts w:hint="eastAsia" w:ascii="Times New Roman" w:hAnsi="Times New Roman" w:eastAsia="宋体" w:cs="Times New Roman"/>
          <w:b/>
          <w:bCs/>
          <w:sz w:val="28"/>
          <w:szCs w:val="28"/>
          <w:lang w:val="en-US" w:eastAsia="zh-CN"/>
        </w:rPr>
      </w:pPr>
    </w:p>
    <w:p w14:paraId="28D4ED91">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73"/>
    </w:p>
    <w:p w14:paraId="258DF170">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24C5102C">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74C86958">
      <w:pPr>
        <w:pageBreakBefore w:val="0"/>
        <w:numPr>
          <w:ilvl w:val="0"/>
          <w:numId w:val="5"/>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51A1DD56">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10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5638"/>
      </w:tblGrid>
      <w:tr w14:paraId="3EF29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0446" w:type="dxa"/>
            <w:gridSpan w:val="4"/>
            <w:tcBorders>
              <w:bottom w:val="single" w:color="auto" w:sz="4" w:space="0"/>
            </w:tcBorders>
            <w:vAlign w:val="center"/>
          </w:tcPr>
          <w:p w14:paraId="7648E2D1">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C407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688F9E74">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6BF5C870">
            <w:pPr>
              <w:pStyle w:val="131"/>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0C64F4EA">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638" w:type="dxa"/>
            <w:tcBorders>
              <w:bottom w:val="single" w:color="auto" w:sz="4" w:space="0"/>
            </w:tcBorders>
            <w:vAlign w:val="center"/>
          </w:tcPr>
          <w:p w14:paraId="6DB1C69E">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1F0AF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2989DB4E">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66A53D8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5BBFD5F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638" w:type="dxa"/>
            <w:vMerge w:val="restart"/>
            <w:vAlign w:val="center"/>
          </w:tcPr>
          <w:p w14:paraId="28C8EF5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）和税务登记证的扫描件，应完整</w:t>
            </w:r>
            <w:r>
              <w:rPr>
                <w:rFonts w:hint="eastAsia" w:ascii="宋体" w:hAnsi="宋体" w:cs="宋体"/>
                <w:color w:val="auto"/>
                <w:sz w:val="21"/>
                <w:szCs w:val="21"/>
                <w:highlight w:val="none"/>
                <w:lang w:eastAsia="zh-CN"/>
              </w:rPr>
              <w:t>地</w:t>
            </w:r>
            <w:r>
              <w:rPr>
                <w:rFonts w:hint="eastAsia" w:ascii="宋体" w:hAnsi="宋体" w:eastAsia="宋体" w:cs="宋体"/>
                <w:color w:val="auto"/>
                <w:sz w:val="21"/>
                <w:szCs w:val="21"/>
                <w:highlight w:val="none"/>
              </w:rPr>
              <w:t>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6838A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371DE64F">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4D61216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0E3F753D">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638" w:type="dxa"/>
            <w:vMerge w:val="continue"/>
            <w:tcBorders>
              <w:bottom w:val="single" w:color="auto" w:sz="4" w:space="0"/>
            </w:tcBorders>
            <w:vAlign w:val="center"/>
          </w:tcPr>
          <w:p w14:paraId="4D1FB9E4">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ADC0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6888585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1C23D2DF">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1C79A2A8">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223F1970">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638" w:type="dxa"/>
            <w:tcBorders>
              <w:bottom w:val="single" w:color="auto" w:sz="4" w:space="0"/>
            </w:tcBorders>
            <w:vAlign w:val="center"/>
          </w:tcPr>
          <w:p w14:paraId="3CE848A2">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2AF4FAA4">
            <w:pPr>
              <w:pStyle w:val="47"/>
              <w:jc w:val="center"/>
              <w:rPr>
                <w:rFonts w:hint="eastAsia"/>
              </w:rPr>
            </w:pPr>
            <w:r>
              <w:rPr>
                <w:rFonts w:hint="eastAsia" w:ascii="宋体" w:hAnsi="宋体" w:cs="宋体"/>
                <w:color w:val="auto"/>
                <w:sz w:val="21"/>
                <w:szCs w:val="21"/>
                <w:highlight w:val="none"/>
                <w:lang w:val="en-US" w:eastAsia="zh-CN"/>
              </w:rPr>
              <w:t>（提供查询截图）</w:t>
            </w:r>
          </w:p>
        </w:tc>
      </w:tr>
      <w:tr w14:paraId="11357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70FD8123">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387B18DC">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3F46112A">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规定并加盖响应人电子签章</w:t>
            </w:r>
          </w:p>
        </w:tc>
        <w:tc>
          <w:tcPr>
            <w:tcW w:w="5638" w:type="dxa"/>
            <w:tcBorders>
              <w:bottom w:val="single" w:color="auto" w:sz="4" w:space="0"/>
            </w:tcBorders>
            <w:vAlign w:val="center"/>
          </w:tcPr>
          <w:p w14:paraId="782B9E4C">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14B58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345C5E3C">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1CB3B32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中小企业声明函</w:t>
            </w:r>
          </w:p>
        </w:tc>
        <w:tc>
          <w:tcPr>
            <w:tcW w:w="2358" w:type="dxa"/>
            <w:tcBorders>
              <w:bottom w:val="single" w:color="auto" w:sz="4" w:space="0"/>
            </w:tcBorders>
            <w:vAlign w:val="center"/>
          </w:tcPr>
          <w:p w14:paraId="682EDD3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638" w:type="dxa"/>
            <w:tcBorders>
              <w:bottom w:val="single" w:color="auto" w:sz="4" w:space="0"/>
            </w:tcBorders>
            <w:vAlign w:val="center"/>
          </w:tcPr>
          <w:p w14:paraId="6965AA92">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26353B4B">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06CB8564">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364FF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FF3A72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6A96095B">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5E50E5F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638" w:type="dxa"/>
            <w:vAlign w:val="center"/>
          </w:tcPr>
          <w:p w14:paraId="22A6898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1DE8B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693" w:type="dxa"/>
            <w:vAlign w:val="center"/>
          </w:tcPr>
          <w:p w14:paraId="763E8AF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24261167">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59D2B119">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电子签章</w:t>
            </w:r>
          </w:p>
        </w:tc>
        <w:tc>
          <w:tcPr>
            <w:tcW w:w="5638" w:type="dxa"/>
            <w:vAlign w:val="center"/>
          </w:tcPr>
          <w:p w14:paraId="477C8B9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7115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34EF1334">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2731EDC3">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2ECDD6EB">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电子签章</w:t>
            </w:r>
          </w:p>
        </w:tc>
        <w:tc>
          <w:tcPr>
            <w:tcW w:w="5638" w:type="dxa"/>
            <w:vAlign w:val="center"/>
          </w:tcPr>
          <w:p w14:paraId="453527A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5214F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4EC0D405">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w:t>
            </w:r>
          </w:p>
        </w:tc>
        <w:tc>
          <w:tcPr>
            <w:tcW w:w="1757" w:type="dxa"/>
            <w:vAlign w:val="center"/>
          </w:tcPr>
          <w:p w14:paraId="6124FB5F">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4F3380A6">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 xml:space="preserve">供应商须知正文第 </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 xml:space="preserve"> 条要求</w:t>
            </w:r>
          </w:p>
        </w:tc>
        <w:tc>
          <w:tcPr>
            <w:tcW w:w="5638" w:type="dxa"/>
            <w:vAlign w:val="center"/>
          </w:tcPr>
          <w:p w14:paraId="3E699DD1">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43E9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E06585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0</w:t>
            </w:r>
          </w:p>
        </w:tc>
        <w:tc>
          <w:tcPr>
            <w:tcW w:w="1757" w:type="dxa"/>
            <w:vAlign w:val="center"/>
          </w:tcPr>
          <w:p w14:paraId="1F11B868">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技术参数评审</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如需</w:t>
            </w:r>
            <w:r>
              <w:rPr>
                <w:rFonts w:hint="eastAsia" w:ascii="宋体" w:hAnsi="宋体" w:cs="宋体"/>
                <w:color w:val="auto"/>
                <w:sz w:val="21"/>
                <w:szCs w:val="21"/>
                <w:highlight w:val="none"/>
                <w:lang w:eastAsia="zh-CN"/>
              </w:rPr>
              <w:t>）</w:t>
            </w:r>
          </w:p>
        </w:tc>
        <w:tc>
          <w:tcPr>
            <w:tcW w:w="2358" w:type="dxa"/>
            <w:vAlign w:val="center"/>
          </w:tcPr>
          <w:p w14:paraId="3D38CC3E">
            <w:pPr>
              <w:spacing w:after="50" w:line="24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技术参数有负偏离的或未提供技术证明文件之一予以证明的，按</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lang w:eastAsia="zh-CN"/>
              </w:rPr>
              <w:t>无效处理。</w:t>
            </w:r>
          </w:p>
        </w:tc>
        <w:tc>
          <w:tcPr>
            <w:tcW w:w="5638" w:type="dxa"/>
            <w:vAlign w:val="center"/>
          </w:tcPr>
          <w:p w14:paraId="42827FDE">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文件中提供相关技术证明文件。</w:t>
            </w:r>
          </w:p>
        </w:tc>
      </w:tr>
      <w:tr w14:paraId="56BC9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6F42E2E">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757" w:type="dxa"/>
            <w:vAlign w:val="center"/>
          </w:tcPr>
          <w:p w14:paraId="3E43B3B0">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p w14:paraId="0CE8046B">
            <w:pPr>
              <w:keepNext w:val="0"/>
              <w:keepLines w:val="0"/>
              <w:widowControl/>
              <w:suppressLineNumbers w:val="0"/>
              <w:jc w:val="center"/>
              <w:rPr>
                <w:rFonts w:hint="eastAsia" w:ascii="宋体" w:hAnsi="宋体" w:eastAsia="宋体" w:cs="宋体"/>
                <w:color w:val="auto"/>
                <w:sz w:val="21"/>
                <w:szCs w:val="21"/>
                <w:highlight w:val="none"/>
                <w:lang w:val="en-US" w:eastAsia="zh-CN"/>
              </w:rPr>
            </w:pPr>
          </w:p>
        </w:tc>
        <w:tc>
          <w:tcPr>
            <w:tcW w:w="2358" w:type="dxa"/>
            <w:vAlign w:val="center"/>
          </w:tcPr>
          <w:p w14:paraId="22DC123F">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符合谈判文件采购需求中付款方式、供货及安装地点、供货及安装期限等要求</w:t>
            </w:r>
          </w:p>
        </w:tc>
        <w:tc>
          <w:tcPr>
            <w:tcW w:w="5638" w:type="dxa"/>
            <w:vAlign w:val="center"/>
          </w:tcPr>
          <w:p w14:paraId="1C2FA53A">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7F882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CAF06CF">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757" w:type="dxa"/>
            <w:vAlign w:val="center"/>
          </w:tcPr>
          <w:p w14:paraId="3184F9A6">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w:t>
            </w:r>
          </w:p>
        </w:tc>
        <w:tc>
          <w:tcPr>
            <w:tcW w:w="2358" w:type="dxa"/>
            <w:vAlign w:val="center"/>
          </w:tcPr>
          <w:p w14:paraId="0F31744F">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格式、填写符合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规定并加盖供应商电子签章。</w:t>
            </w:r>
          </w:p>
        </w:tc>
        <w:tc>
          <w:tcPr>
            <w:tcW w:w="5638" w:type="dxa"/>
            <w:vAlign w:val="center"/>
          </w:tcPr>
          <w:p w14:paraId="424BBFED">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707CC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524B9D28">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098F4105">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1224C116">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638" w:type="dxa"/>
            <w:vAlign w:val="center"/>
          </w:tcPr>
          <w:p w14:paraId="78DB4AD6">
            <w:pPr>
              <w:spacing w:after="50" w:line="360" w:lineRule="auto"/>
              <w:ind w:right="-10" w:rightChars="0"/>
              <w:jc w:val="center"/>
              <w:rPr>
                <w:rFonts w:hint="eastAsia" w:ascii="宋体" w:hAnsi="宋体" w:eastAsia="宋体" w:cs="宋体"/>
                <w:color w:val="auto"/>
                <w:sz w:val="21"/>
                <w:szCs w:val="21"/>
                <w:highlight w:val="none"/>
              </w:rPr>
            </w:pPr>
          </w:p>
        </w:tc>
      </w:tr>
      <w:tr w14:paraId="1BF0A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46" w:type="dxa"/>
            <w:gridSpan w:val="4"/>
            <w:tcBorders>
              <w:bottom w:val="single" w:color="auto" w:sz="4" w:space="0"/>
            </w:tcBorders>
            <w:vAlign w:val="center"/>
          </w:tcPr>
          <w:p w14:paraId="59AD1311">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588852FD">
            <w:pPr>
              <w:widowControl/>
              <w:spacing w:line="500" w:lineRule="exact"/>
              <w:jc w:val="left"/>
              <w:rPr>
                <w:rFonts w:hint="eastAsia"/>
                <w:color w:val="auto"/>
                <w:highlight w:val="none"/>
              </w:rPr>
            </w:pPr>
            <w:r>
              <w:rPr>
                <w:rFonts w:hint="eastAsia"/>
                <w:color w:val="auto"/>
                <w:highlight w:val="none"/>
              </w:rPr>
              <w:t xml:space="preserve">注： </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0BCB4B87">
            <w:pPr>
              <w:widowControl/>
              <w:spacing w:line="500" w:lineRule="exact"/>
              <w:jc w:val="left"/>
              <w:rPr>
                <w:rFonts w:hint="eastAsia" w:eastAsia="宋体"/>
                <w:color w:val="auto"/>
                <w:highlight w:val="none"/>
                <w:lang w:val="en-US" w:eastAsia="zh-CN"/>
              </w:rPr>
            </w:pPr>
            <w:r>
              <w:rPr>
                <w:rFonts w:hint="eastAsia" w:ascii="宋体" w:hAnsi="宋体"/>
                <w:color w:val="auto"/>
                <w:szCs w:val="21"/>
                <w:highlight w:val="none"/>
                <w:lang w:val="en-US" w:eastAsia="zh-CN"/>
              </w:rPr>
              <w:t>2、响应人应按照谈判文件要求提供证明材料。若响应人提供了谈判文件未要求的证明材料，谈判小组将不予评审。</w:t>
            </w:r>
          </w:p>
        </w:tc>
      </w:tr>
    </w:tbl>
    <w:p w14:paraId="43BA6D51">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p>
    <w:p w14:paraId="62EB8804">
      <w:pPr>
        <w:keepNext w:val="0"/>
        <w:keepLines w:val="0"/>
        <w:pageBreakBefore w:val="0"/>
        <w:widowControl w:val="0"/>
        <w:numPr>
          <w:ilvl w:val="0"/>
          <w:numId w:val="6"/>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bookmarkStart w:id="74" w:name="_Toc7241"/>
      <w:bookmarkStart w:id="75" w:name="_Toc3977"/>
      <w:bookmarkStart w:id="76" w:name="_Toc28300"/>
      <w:bookmarkStart w:id="77" w:name="_Toc431"/>
      <w:bookmarkStart w:id="78" w:name="_Toc27586"/>
      <w:bookmarkStart w:id="79" w:name="_Toc10569"/>
      <w:bookmarkStart w:id="80" w:name="_Toc54941340"/>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532705DF">
      <w:pPr>
        <w:keepNext w:val="0"/>
        <w:keepLines w:val="0"/>
        <w:pageBreakBefore w:val="0"/>
        <w:widowControl w:val="0"/>
        <w:numPr>
          <w:ilvl w:val="0"/>
          <w:numId w:val="6"/>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最后报价评审，</w:t>
      </w:r>
      <w:r>
        <w:rPr>
          <w:rFonts w:hint="eastAsia" w:ascii="宋体" w:hAnsi="宋体" w:cs="宋体"/>
          <w:b w:val="0"/>
          <w:bCs/>
          <w:color w:val="auto"/>
          <w:szCs w:val="21"/>
          <w:highlight w:val="none"/>
          <w:lang w:val="en-US" w:eastAsia="zh-CN"/>
        </w:rPr>
        <w:t>符合谈判文件供应商须知正文第 24 条要求</w:t>
      </w:r>
      <w:bookmarkEnd w:id="74"/>
      <w:bookmarkEnd w:id="75"/>
      <w:bookmarkEnd w:id="76"/>
      <w:bookmarkEnd w:id="77"/>
      <w:bookmarkEnd w:id="78"/>
      <w:r>
        <w:rPr>
          <w:rFonts w:hint="eastAsia" w:ascii="宋体" w:hAnsi="宋体" w:cs="宋体"/>
          <w:b w:val="0"/>
          <w:bCs/>
          <w:color w:val="auto"/>
          <w:szCs w:val="21"/>
          <w:highlight w:val="none"/>
          <w:lang w:val="en-US" w:eastAsia="zh-CN"/>
        </w:rPr>
        <w:t>。</w:t>
      </w:r>
    </w:p>
    <w:p w14:paraId="354CEBF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firstLine="420" w:firstLineChars="200"/>
        <w:jc w:val="both"/>
        <w:textAlignment w:val="auto"/>
        <w:rPr>
          <w:rFonts w:hint="eastAsia" w:ascii="宋体" w:hAnsi="宋体" w:cs="宋体"/>
          <w:b w:val="0"/>
          <w:bCs/>
          <w:color w:val="auto"/>
          <w:szCs w:val="21"/>
          <w:highlight w:val="none"/>
          <w:lang w:val="en-US" w:eastAsia="zh-CN"/>
        </w:rPr>
      </w:pPr>
    </w:p>
    <w:p w14:paraId="4BF45D7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firstLine="420" w:firstLineChars="200"/>
        <w:jc w:val="both"/>
        <w:textAlignment w:val="auto"/>
        <w:rPr>
          <w:rFonts w:hint="default" w:ascii="宋体" w:hAnsi="宋体" w:cs="宋体"/>
          <w:b w:val="0"/>
          <w:bCs/>
          <w:color w:val="auto"/>
          <w:szCs w:val="21"/>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p>
    <w:bookmarkEnd w:id="79"/>
    <w:bookmarkEnd w:id="80"/>
    <w:p w14:paraId="6C72421B">
      <w:pPr>
        <w:pStyle w:val="2"/>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1CA2D9D3">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3EEA577B">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0B512F4C">
      <w:pPr>
        <w:spacing w:line="480" w:lineRule="auto"/>
        <w:jc w:val="center"/>
        <w:rPr>
          <w:rFonts w:asciiTheme="minorEastAsia" w:hAnsiTheme="minorEastAsia" w:eastAsiaTheme="minorEastAsia"/>
          <w:b/>
          <w:color w:val="auto"/>
          <w:sz w:val="24"/>
          <w:highlight w:val="none"/>
        </w:rPr>
      </w:pPr>
    </w:p>
    <w:p w14:paraId="7BABDBA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r>
        <w:rPr>
          <w:rFonts w:hint="eastAsia" w:asciiTheme="minorEastAsia" w:hAnsiTheme="minorEastAsia" w:eastAsiaTheme="minorEastAsia"/>
          <w:color w:val="auto"/>
          <w:sz w:val="24"/>
          <w:highlight w:val="none"/>
        </w:rPr>
        <w:t>_______________</w:t>
      </w:r>
    </w:p>
    <w:p w14:paraId="5CB8EACF">
      <w:pPr>
        <w:spacing w:before="120" w:line="480" w:lineRule="auto"/>
        <w:ind w:left="960"/>
        <w:rPr>
          <w:rFonts w:asciiTheme="minorEastAsia" w:hAnsiTheme="minorEastAsia" w:eastAsiaTheme="minorEastAsia"/>
          <w:color w:val="auto"/>
          <w:sz w:val="24"/>
          <w:highlight w:val="none"/>
        </w:rPr>
      </w:pPr>
    </w:p>
    <w:p w14:paraId="236E8020">
      <w:pPr>
        <w:spacing w:before="120" w:line="480" w:lineRule="auto"/>
        <w:ind w:left="960"/>
        <w:rPr>
          <w:rFonts w:asciiTheme="minorEastAsia" w:hAnsiTheme="minorEastAsia" w:eastAsiaTheme="minorEastAsia"/>
          <w:color w:val="auto"/>
          <w:sz w:val="24"/>
          <w:highlight w:val="none"/>
        </w:rPr>
      </w:pPr>
    </w:p>
    <w:p w14:paraId="1E04780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E516D2">
      <w:pPr>
        <w:spacing w:before="120" w:line="480" w:lineRule="auto"/>
        <w:ind w:left="960"/>
        <w:rPr>
          <w:rFonts w:asciiTheme="minorEastAsia" w:hAnsiTheme="minorEastAsia" w:eastAsiaTheme="minorEastAsia"/>
          <w:color w:val="auto"/>
          <w:sz w:val="24"/>
          <w:highlight w:val="none"/>
        </w:rPr>
      </w:pPr>
    </w:p>
    <w:p w14:paraId="4708D54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3E76C6EF">
      <w:pPr>
        <w:spacing w:before="120" w:line="480" w:lineRule="auto"/>
        <w:ind w:firstLine="960" w:firstLineChars="400"/>
        <w:rPr>
          <w:rFonts w:asciiTheme="minorEastAsia" w:hAnsiTheme="minorEastAsia" w:eastAsiaTheme="minorEastAsia"/>
          <w:color w:val="auto"/>
          <w:sz w:val="24"/>
          <w:highlight w:val="none"/>
        </w:rPr>
      </w:pPr>
    </w:p>
    <w:p w14:paraId="7659AB1C">
      <w:pPr>
        <w:spacing w:before="120" w:line="480" w:lineRule="auto"/>
        <w:rPr>
          <w:rFonts w:asciiTheme="minorEastAsia" w:hAnsiTheme="minorEastAsia" w:eastAsiaTheme="minorEastAsia"/>
          <w:color w:val="auto"/>
          <w:sz w:val="24"/>
          <w:highlight w:val="none"/>
        </w:rPr>
      </w:pPr>
    </w:p>
    <w:p w14:paraId="2755C8A9">
      <w:pPr>
        <w:pStyle w:val="8"/>
        <w:tabs>
          <w:tab w:val="left" w:pos="2730"/>
        </w:tabs>
        <w:rPr>
          <w:rFonts w:asciiTheme="minorEastAsia" w:hAnsiTheme="minorEastAsia" w:eastAsiaTheme="minorEastAsia"/>
          <w:color w:val="auto"/>
          <w:sz w:val="24"/>
          <w:highlight w:val="none"/>
        </w:rPr>
      </w:pPr>
    </w:p>
    <w:p w14:paraId="52592BCC">
      <w:pPr>
        <w:rPr>
          <w:color w:val="auto"/>
          <w:highlight w:val="none"/>
        </w:rPr>
      </w:pPr>
    </w:p>
    <w:p w14:paraId="1C21AA19">
      <w:pPr>
        <w:spacing w:before="120" w:line="480" w:lineRule="auto"/>
        <w:ind w:firstLine="960" w:firstLineChars="400"/>
        <w:rPr>
          <w:rFonts w:asciiTheme="minorEastAsia" w:hAnsiTheme="minorEastAsia" w:eastAsiaTheme="minorEastAsia"/>
          <w:color w:val="auto"/>
          <w:sz w:val="24"/>
          <w:highlight w:val="none"/>
        </w:rPr>
      </w:pPr>
    </w:p>
    <w:p w14:paraId="709FB326">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2731604">
      <w:pPr>
        <w:spacing w:before="120" w:line="480" w:lineRule="auto"/>
        <w:ind w:firstLine="960" w:firstLineChars="400"/>
        <w:rPr>
          <w:rFonts w:asciiTheme="minorEastAsia" w:hAnsiTheme="minorEastAsia" w:eastAsiaTheme="minorEastAsia"/>
          <w:color w:val="auto"/>
          <w:sz w:val="24"/>
          <w:highlight w:val="none"/>
        </w:rPr>
      </w:pPr>
    </w:p>
    <w:p w14:paraId="5178D9B8">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CBA2F3E">
      <w:pPr>
        <w:pStyle w:val="47"/>
        <w:rPr>
          <w:color w:val="auto"/>
          <w:highlight w:val="none"/>
        </w:rPr>
      </w:pPr>
    </w:p>
    <w:p w14:paraId="03A23175">
      <w:pPr>
        <w:spacing w:line="360" w:lineRule="auto"/>
        <w:rPr>
          <w:rFonts w:hint="eastAsia" w:asciiTheme="minorEastAsia" w:hAnsiTheme="minorEastAsia" w:eastAsiaTheme="minorEastAsia"/>
          <w:color w:val="auto"/>
          <w:sz w:val="24"/>
          <w:highlight w:val="none"/>
        </w:rPr>
      </w:pPr>
    </w:p>
    <w:p w14:paraId="3C581B32">
      <w:pPr>
        <w:spacing w:line="360" w:lineRule="auto"/>
        <w:ind w:firstLine="435"/>
        <w:rPr>
          <w:rFonts w:hint="eastAsia" w:asciiTheme="minorEastAsia" w:hAnsiTheme="minorEastAsia" w:eastAsiaTheme="minorEastAsia"/>
          <w:color w:val="auto"/>
          <w:sz w:val="24"/>
          <w:highlight w:val="none"/>
        </w:rPr>
      </w:pPr>
    </w:p>
    <w:p w14:paraId="7D6D1F3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796326FF">
      <w:pPr>
        <w:spacing w:line="360" w:lineRule="auto"/>
        <w:ind w:firstLine="437"/>
        <w:outlineLvl w:val="3"/>
        <w:rPr>
          <w:rFonts w:asciiTheme="minorEastAsia" w:hAnsiTheme="minorEastAsia" w:eastAsiaTheme="minorEastAsia"/>
          <w:b/>
          <w:bCs/>
          <w:color w:val="auto"/>
          <w:sz w:val="24"/>
          <w:highlight w:val="none"/>
          <w:lang w:val="zh-CN"/>
        </w:rPr>
      </w:pPr>
      <w:bookmarkStart w:id="81" w:name="_Toc24059"/>
      <w:bookmarkStart w:id="82" w:name="_Toc2232"/>
      <w:bookmarkStart w:id="83"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1"/>
      <w:bookmarkEnd w:id="82"/>
      <w:bookmarkEnd w:id="83"/>
    </w:p>
    <w:p w14:paraId="36E0279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04F6FF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60CDA90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5AABCADC">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58932D81">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80CB2E0">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3759E2F1">
      <w:pPr>
        <w:spacing w:line="360" w:lineRule="auto"/>
        <w:ind w:firstLine="437"/>
        <w:outlineLvl w:val="3"/>
        <w:rPr>
          <w:rFonts w:asciiTheme="minorEastAsia" w:hAnsiTheme="minorEastAsia" w:eastAsiaTheme="minorEastAsia"/>
          <w:b/>
          <w:bCs/>
          <w:color w:val="auto"/>
          <w:sz w:val="24"/>
          <w:highlight w:val="none"/>
          <w:lang w:val="zh-CN"/>
        </w:rPr>
      </w:pPr>
      <w:bookmarkStart w:id="84" w:name="_Toc21295"/>
      <w:bookmarkStart w:id="85" w:name="_Toc27126"/>
      <w:bookmarkStart w:id="86"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84"/>
      <w:bookmarkEnd w:id="85"/>
      <w:bookmarkEnd w:id="86"/>
    </w:p>
    <w:tbl>
      <w:tblPr>
        <w:tblStyle w:val="132"/>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651"/>
        <w:gridCol w:w="1651"/>
        <w:gridCol w:w="1647"/>
        <w:gridCol w:w="1647"/>
        <w:gridCol w:w="1183"/>
      </w:tblGrid>
      <w:tr w14:paraId="08BA7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559765A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51" w:type="dxa"/>
            <w:vAlign w:val="center"/>
          </w:tcPr>
          <w:p w14:paraId="1B9120D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51" w:type="dxa"/>
            <w:vAlign w:val="center"/>
          </w:tcPr>
          <w:p w14:paraId="61EAF26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47" w:type="dxa"/>
            <w:vAlign w:val="center"/>
          </w:tcPr>
          <w:p w14:paraId="3321833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47" w:type="dxa"/>
            <w:vAlign w:val="center"/>
          </w:tcPr>
          <w:p w14:paraId="0898DDA3">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83" w:type="dxa"/>
            <w:vAlign w:val="center"/>
          </w:tcPr>
          <w:p w14:paraId="158CEA7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生产厂商</w:t>
            </w:r>
          </w:p>
        </w:tc>
      </w:tr>
      <w:tr w14:paraId="64EF9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13F1F1C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51" w:type="dxa"/>
            <w:vAlign w:val="center"/>
          </w:tcPr>
          <w:p w14:paraId="74E188C8">
            <w:pPr>
              <w:jc w:val="center"/>
              <w:rPr>
                <w:rFonts w:asciiTheme="minorEastAsia" w:hAnsiTheme="minorEastAsia" w:eastAsiaTheme="minorEastAsia"/>
                <w:color w:val="auto"/>
                <w:sz w:val="24"/>
                <w:highlight w:val="none"/>
                <w:lang w:val="zh-CN"/>
              </w:rPr>
            </w:pPr>
          </w:p>
        </w:tc>
        <w:tc>
          <w:tcPr>
            <w:tcW w:w="1651" w:type="dxa"/>
            <w:vAlign w:val="center"/>
          </w:tcPr>
          <w:p w14:paraId="09062A8C">
            <w:pPr>
              <w:jc w:val="center"/>
              <w:rPr>
                <w:rFonts w:asciiTheme="minorEastAsia" w:hAnsiTheme="minorEastAsia" w:eastAsiaTheme="minorEastAsia"/>
                <w:color w:val="auto"/>
                <w:sz w:val="24"/>
                <w:highlight w:val="none"/>
                <w:lang w:val="zh-CN"/>
              </w:rPr>
            </w:pPr>
          </w:p>
        </w:tc>
        <w:tc>
          <w:tcPr>
            <w:tcW w:w="1647" w:type="dxa"/>
            <w:vAlign w:val="center"/>
          </w:tcPr>
          <w:p w14:paraId="4D04D78A">
            <w:pPr>
              <w:jc w:val="center"/>
              <w:rPr>
                <w:rFonts w:asciiTheme="minorEastAsia" w:hAnsiTheme="minorEastAsia" w:eastAsiaTheme="minorEastAsia"/>
                <w:color w:val="auto"/>
                <w:sz w:val="24"/>
                <w:highlight w:val="none"/>
                <w:lang w:val="zh-CN"/>
              </w:rPr>
            </w:pPr>
          </w:p>
        </w:tc>
        <w:tc>
          <w:tcPr>
            <w:tcW w:w="1647" w:type="dxa"/>
            <w:vAlign w:val="center"/>
          </w:tcPr>
          <w:p w14:paraId="05446CB4">
            <w:pPr>
              <w:jc w:val="center"/>
              <w:rPr>
                <w:rFonts w:asciiTheme="minorEastAsia" w:hAnsiTheme="minorEastAsia" w:eastAsiaTheme="minorEastAsia"/>
                <w:color w:val="auto"/>
                <w:sz w:val="24"/>
                <w:highlight w:val="none"/>
                <w:lang w:val="zh-CN"/>
              </w:rPr>
            </w:pPr>
          </w:p>
        </w:tc>
        <w:tc>
          <w:tcPr>
            <w:tcW w:w="1183" w:type="dxa"/>
            <w:vAlign w:val="center"/>
          </w:tcPr>
          <w:p w14:paraId="40EFF3A1">
            <w:pPr>
              <w:jc w:val="center"/>
              <w:rPr>
                <w:rFonts w:asciiTheme="minorEastAsia" w:hAnsiTheme="minorEastAsia" w:eastAsiaTheme="minorEastAsia"/>
                <w:color w:val="auto"/>
                <w:sz w:val="24"/>
                <w:highlight w:val="none"/>
                <w:lang w:val="zh-CN"/>
              </w:rPr>
            </w:pPr>
          </w:p>
        </w:tc>
      </w:tr>
      <w:tr w14:paraId="18793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658E9CCB">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51" w:type="dxa"/>
            <w:vAlign w:val="center"/>
          </w:tcPr>
          <w:p w14:paraId="59D984CA">
            <w:pPr>
              <w:jc w:val="center"/>
              <w:rPr>
                <w:rFonts w:asciiTheme="minorEastAsia" w:hAnsiTheme="minorEastAsia" w:eastAsiaTheme="minorEastAsia"/>
                <w:color w:val="auto"/>
                <w:sz w:val="24"/>
                <w:highlight w:val="none"/>
                <w:lang w:val="zh-CN"/>
              </w:rPr>
            </w:pPr>
          </w:p>
        </w:tc>
        <w:tc>
          <w:tcPr>
            <w:tcW w:w="1651" w:type="dxa"/>
            <w:vAlign w:val="center"/>
          </w:tcPr>
          <w:p w14:paraId="7B0AB959">
            <w:pPr>
              <w:jc w:val="center"/>
              <w:rPr>
                <w:rFonts w:asciiTheme="minorEastAsia" w:hAnsiTheme="minorEastAsia" w:eastAsiaTheme="minorEastAsia"/>
                <w:color w:val="auto"/>
                <w:sz w:val="24"/>
                <w:highlight w:val="none"/>
                <w:lang w:val="zh-CN"/>
              </w:rPr>
            </w:pPr>
          </w:p>
        </w:tc>
        <w:tc>
          <w:tcPr>
            <w:tcW w:w="1647" w:type="dxa"/>
            <w:vAlign w:val="center"/>
          </w:tcPr>
          <w:p w14:paraId="25B0B0E6">
            <w:pPr>
              <w:jc w:val="center"/>
              <w:rPr>
                <w:rFonts w:asciiTheme="minorEastAsia" w:hAnsiTheme="minorEastAsia" w:eastAsiaTheme="minorEastAsia"/>
                <w:color w:val="auto"/>
                <w:sz w:val="24"/>
                <w:highlight w:val="none"/>
                <w:lang w:val="zh-CN"/>
              </w:rPr>
            </w:pPr>
          </w:p>
        </w:tc>
        <w:tc>
          <w:tcPr>
            <w:tcW w:w="1647" w:type="dxa"/>
            <w:vAlign w:val="center"/>
          </w:tcPr>
          <w:p w14:paraId="10D97229">
            <w:pPr>
              <w:jc w:val="center"/>
              <w:rPr>
                <w:rFonts w:asciiTheme="minorEastAsia" w:hAnsiTheme="minorEastAsia" w:eastAsiaTheme="minorEastAsia"/>
                <w:color w:val="auto"/>
                <w:sz w:val="24"/>
                <w:highlight w:val="none"/>
                <w:lang w:val="zh-CN"/>
              </w:rPr>
            </w:pPr>
          </w:p>
        </w:tc>
        <w:tc>
          <w:tcPr>
            <w:tcW w:w="1183" w:type="dxa"/>
            <w:vAlign w:val="center"/>
          </w:tcPr>
          <w:p w14:paraId="5D71A1C9">
            <w:pPr>
              <w:jc w:val="center"/>
              <w:rPr>
                <w:rFonts w:asciiTheme="minorEastAsia" w:hAnsiTheme="minorEastAsia" w:eastAsiaTheme="minorEastAsia"/>
                <w:color w:val="auto"/>
                <w:sz w:val="24"/>
                <w:highlight w:val="none"/>
                <w:lang w:val="zh-CN"/>
              </w:rPr>
            </w:pPr>
          </w:p>
        </w:tc>
      </w:tr>
      <w:tr w14:paraId="2516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4D7B410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51" w:type="dxa"/>
            <w:vAlign w:val="center"/>
          </w:tcPr>
          <w:p w14:paraId="61561DD3">
            <w:pPr>
              <w:jc w:val="center"/>
              <w:rPr>
                <w:rFonts w:asciiTheme="minorEastAsia" w:hAnsiTheme="minorEastAsia" w:eastAsiaTheme="minorEastAsia"/>
                <w:color w:val="auto"/>
                <w:sz w:val="24"/>
                <w:highlight w:val="none"/>
                <w:lang w:val="zh-CN"/>
              </w:rPr>
            </w:pPr>
          </w:p>
        </w:tc>
        <w:tc>
          <w:tcPr>
            <w:tcW w:w="1651" w:type="dxa"/>
            <w:vAlign w:val="center"/>
          </w:tcPr>
          <w:p w14:paraId="7D8673C0">
            <w:pPr>
              <w:jc w:val="center"/>
              <w:rPr>
                <w:rFonts w:asciiTheme="minorEastAsia" w:hAnsiTheme="minorEastAsia" w:eastAsiaTheme="minorEastAsia"/>
                <w:color w:val="auto"/>
                <w:sz w:val="24"/>
                <w:highlight w:val="none"/>
                <w:lang w:val="zh-CN"/>
              </w:rPr>
            </w:pPr>
          </w:p>
        </w:tc>
        <w:tc>
          <w:tcPr>
            <w:tcW w:w="1647" w:type="dxa"/>
            <w:vAlign w:val="center"/>
          </w:tcPr>
          <w:p w14:paraId="407F0DA4">
            <w:pPr>
              <w:jc w:val="center"/>
              <w:rPr>
                <w:rFonts w:asciiTheme="minorEastAsia" w:hAnsiTheme="minorEastAsia" w:eastAsiaTheme="minorEastAsia"/>
                <w:color w:val="auto"/>
                <w:sz w:val="24"/>
                <w:highlight w:val="none"/>
                <w:lang w:val="zh-CN"/>
              </w:rPr>
            </w:pPr>
          </w:p>
        </w:tc>
        <w:tc>
          <w:tcPr>
            <w:tcW w:w="1647" w:type="dxa"/>
            <w:vAlign w:val="center"/>
          </w:tcPr>
          <w:p w14:paraId="4D01B2C5">
            <w:pPr>
              <w:jc w:val="center"/>
              <w:rPr>
                <w:rFonts w:asciiTheme="minorEastAsia" w:hAnsiTheme="minorEastAsia" w:eastAsiaTheme="minorEastAsia"/>
                <w:color w:val="auto"/>
                <w:sz w:val="24"/>
                <w:highlight w:val="none"/>
                <w:lang w:val="zh-CN"/>
              </w:rPr>
            </w:pPr>
          </w:p>
        </w:tc>
        <w:tc>
          <w:tcPr>
            <w:tcW w:w="1183" w:type="dxa"/>
            <w:vAlign w:val="center"/>
          </w:tcPr>
          <w:p w14:paraId="419D6B1D">
            <w:pPr>
              <w:jc w:val="center"/>
              <w:rPr>
                <w:rFonts w:asciiTheme="minorEastAsia" w:hAnsiTheme="minorEastAsia" w:eastAsiaTheme="minorEastAsia"/>
                <w:color w:val="auto"/>
                <w:sz w:val="24"/>
                <w:highlight w:val="none"/>
                <w:lang w:val="zh-CN"/>
              </w:rPr>
            </w:pPr>
          </w:p>
        </w:tc>
      </w:tr>
      <w:tr w14:paraId="4EBAF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3CDCED82">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51" w:type="dxa"/>
            <w:vAlign w:val="center"/>
          </w:tcPr>
          <w:p w14:paraId="6821D8DF">
            <w:pPr>
              <w:jc w:val="center"/>
              <w:rPr>
                <w:rFonts w:asciiTheme="minorEastAsia" w:hAnsiTheme="minorEastAsia" w:eastAsiaTheme="minorEastAsia"/>
                <w:color w:val="auto"/>
                <w:sz w:val="24"/>
                <w:highlight w:val="none"/>
                <w:lang w:val="zh-CN"/>
              </w:rPr>
            </w:pPr>
          </w:p>
        </w:tc>
        <w:tc>
          <w:tcPr>
            <w:tcW w:w="1651" w:type="dxa"/>
            <w:vAlign w:val="center"/>
          </w:tcPr>
          <w:p w14:paraId="287958A7">
            <w:pPr>
              <w:jc w:val="center"/>
              <w:rPr>
                <w:rFonts w:asciiTheme="minorEastAsia" w:hAnsiTheme="minorEastAsia" w:eastAsiaTheme="minorEastAsia"/>
                <w:color w:val="auto"/>
                <w:sz w:val="24"/>
                <w:highlight w:val="none"/>
                <w:lang w:val="zh-CN"/>
              </w:rPr>
            </w:pPr>
          </w:p>
        </w:tc>
        <w:tc>
          <w:tcPr>
            <w:tcW w:w="1647" w:type="dxa"/>
            <w:vAlign w:val="center"/>
          </w:tcPr>
          <w:p w14:paraId="7B61804A">
            <w:pPr>
              <w:jc w:val="center"/>
              <w:rPr>
                <w:rFonts w:asciiTheme="minorEastAsia" w:hAnsiTheme="minorEastAsia" w:eastAsiaTheme="minorEastAsia"/>
                <w:color w:val="auto"/>
                <w:sz w:val="24"/>
                <w:highlight w:val="none"/>
                <w:lang w:val="zh-CN"/>
              </w:rPr>
            </w:pPr>
          </w:p>
        </w:tc>
        <w:tc>
          <w:tcPr>
            <w:tcW w:w="1647" w:type="dxa"/>
            <w:vAlign w:val="center"/>
          </w:tcPr>
          <w:p w14:paraId="4311CA16">
            <w:pPr>
              <w:jc w:val="center"/>
              <w:rPr>
                <w:rFonts w:asciiTheme="minorEastAsia" w:hAnsiTheme="minorEastAsia" w:eastAsiaTheme="minorEastAsia"/>
                <w:color w:val="auto"/>
                <w:sz w:val="24"/>
                <w:highlight w:val="none"/>
                <w:lang w:val="zh-CN"/>
              </w:rPr>
            </w:pPr>
          </w:p>
        </w:tc>
        <w:tc>
          <w:tcPr>
            <w:tcW w:w="1183" w:type="dxa"/>
            <w:vAlign w:val="center"/>
          </w:tcPr>
          <w:p w14:paraId="75259693">
            <w:pPr>
              <w:jc w:val="center"/>
              <w:rPr>
                <w:rFonts w:asciiTheme="minorEastAsia" w:hAnsiTheme="minorEastAsia" w:eastAsiaTheme="minorEastAsia"/>
                <w:color w:val="auto"/>
                <w:sz w:val="24"/>
                <w:highlight w:val="none"/>
                <w:lang w:val="zh-CN"/>
              </w:rPr>
            </w:pPr>
          </w:p>
        </w:tc>
      </w:tr>
    </w:tbl>
    <w:p w14:paraId="7FD1DA6B">
      <w:pPr>
        <w:spacing w:line="360" w:lineRule="auto"/>
        <w:ind w:firstLine="437"/>
        <w:outlineLvl w:val="3"/>
        <w:rPr>
          <w:rFonts w:asciiTheme="minorEastAsia" w:hAnsiTheme="minorEastAsia" w:eastAsiaTheme="minorEastAsia"/>
          <w:b/>
          <w:bCs/>
          <w:color w:val="auto"/>
          <w:sz w:val="24"/>
          <w:highlight w:val="none"/>
          <w:lang w:val="zh-CN"/>
        </w:rPr>
      </w:pPr>
      <w:bookmarkStart w:id="87" w:name="_Toc23292"/>
      <w:bookmarkStart w:id="88" w:name="_Toc21551"/>
      <w:bookmarkStart w:id="89" w:name="_Toc2163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7"/>
      <w:bookmarkEnd w:id="88"/>
      <w:bookmarkEnd w:id="89"/>
    </w:p>
    <w:p w14:paraId="6B0646EB">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205BE02">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63CF9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055" w:type="dxa"/>
            <w:vAlign w:val="center"/>
          </w:tcPr>
          <w:p w14:paraId="3101AA48">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307008AC">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7AB77FF4">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00BB1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5DF0FEC3">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1C2B2CEE">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865DA7A">
            <w:pPr>
              <w:ind w:firstLine="200"/>
              <w:jc w:val="center"/>
              <w:rPr>
                <w:rFonts w:asciiTheme="minorEastAsia" w:hAnsiTheme="minorEastAsia" w:eastAsiaTheme="minorEastAsia"/>
                <w:color w:val="auto"/>
                <w:sz w:val="24"/>
                <w:highlight w:val="none"/>
              </w:rPr>
            </w:pPr>
          </w:p>
        </w:tc>
      </w:tr>
      <w:tr w14:paraId="351C3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442044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14C1CF35">
            <w:pPr>
              <w:ind w:firstLine="200"/>
              <w:jc w:val="center"/>
              <w:rPr>
                <w:rFonts w:asciiTheme="minorEastAsia" w:hAnsiTheme="minorEastAsia" w:eastAsiaTheme="minorEastAsia"/>
                <w:color w:val="auto"/>
                <w:sz w:val="24"/>
                <w:highlight w:val="none"/>
              </w:rPr>
            </w:pPr>
          </w:p>
        </w:tc>
        <w:tc>
          <w:tcPr>
            <w:tcW w:w="3368" w:type="dxa"/>
            <w:gridSpan w:val="2"/>
            <w:vAlign w:val="center"/>
          </w:tcPr>
          <w:p w14:paraId="34C9F82B">
            <w:pPr>
              <w:ind w:firstLine="200"/>
              <w:jc w:val="center"/>
              <w:rPr>
                <w:rFonts w:asciiTheme="minorEastAsia" w:hAnsiTheme="minorEastAsia" w:eastAsiaTheme="minorEastAsia"/>
                <w:color w:val="auto"/>
                <w:sz w:val="24"/>
                <w:highlight w:val="none"/>
              </w:rPr>
            </w:pPr>
          </w:p>
        </w:tc>
      </w:tr>
      <w:tr w14:paraId="75D6D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1055" w:type="dxa"/>
          </w:tcPr>
          <w:p w14:paraId="323C80B2">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2F403467">
            <w:pPr>
              <w:ind w:firstLine="200"/>
              <w:jc w:val="center"/>
              <w:rPr>
                <w:rFonts w:asciiTheme="minorEastAsia" w:hAnsiTheme="minorEastAsia" w:eastAsiaTheme="minorEastAsia"/>
                <w:color w:val="auto"/>
                <w:sz w:val="24"/>
                <w:highlight w:val="none"/>
              </w:rPr>
            </w:pPr>
          </w:p>
        </w:tc>
        <w:tc>
          <w:tcPr>
            <w:tcW w:w="3368" w:type="dxa"/>
            <w:gridSpan w:val="2"/>
            <w:vAlign w:val="center"/>
          </w:tcPr>
          <w:p w14:paraId="3D2EBB24">
            <w:pPr>
              <w:ind w:firstLine="200"/>
              <w:jc w:val="center"/>
              <w:rPr>
                <w:rFonts w:asciiTheme="minorEastAsia" w:hAnsiTheme="minorEastAsia" w:eastAsiaTheme="minorEastAsia"/>
                <w:color w:val="auto"/>
                <w:sz w:val="24"/>
                <w:highlight w:val="none"/>
              </w:rPr>
            </w:pPr>
          </w:p>
        </w:tc>
      </w:tr>
      <w:tr w14:paraId="766F8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B40AF8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8035A8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6344610C">
            <w:pPr>
              <w:ind w:firstLine="200"/>
              <w:jc w:val="center"/>
              <w:rPr>
                <w:rFonts w:asciiTheme="minorEastAsia" w:hAnsiTheme="minorEastAsia" w:eastAsiaTheme="minorEastAsia"/>
                <w:color w:val="auto"/>
                <w:sz w:val="24"/>
                <w:highlight w:val="none"/>
              </w:rPr>
            </w:pPr>
          </w:p>
        </w:tc>
      </w:tr>
      <w:tr w14:paraId="5977F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6FB52E47">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1F162A3D">
            <w:pPr>
              <w:ind w:firstLine="200"/>
              <w:jc w:val="center"/>
              <w:rPr>
                <w:rFonts w:asciiTheme="minorEastAsia" w:hAnsiTheme="minorEastAsia" w:eastAsiaTheme="minorEastAsia"/>
                <w:color w:val="auto"/>
                <w:sz w:val="24"/>
                <w:highlight w:val="none"/>
              </w:rPr>
            </w:pPr>
          </w:p>
        </w:tc>
      </w:tr>
    </w:tbl>
    <w:p w14:paraId="28F4319E">
      <w:pPr>
        <w:spacing w:line="360" w:lineRule="auto"/>
        <w:ind w:firstLine="437"/>
        <w:outlineLvl w:val="3"/>
        <w:rPr>
          <w:rFonts w:asciiTheme="minorEastAsia" w:hAnsiTheme="minorEastAsia" w:eastAsiaTheme="minorEastAsia"/>
          <w:b/>
          <w:bCs/>
          <w:color w:val="auto"/>
          <w:sz w:val="24"/>
          <w:highlight w:val="none"/>
          <w:lang w:val="zh-CN"/>
        </w:rPr>
      </w:pPr>
      <w:bookmarkStart w:id="90" w:name="_Toc10340"/>
      <w:bookmarkStart w:id="91" w:name="_Toc22618"/>
      <w:bookmarkStart w:id="92"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0"/>
      <w:bookmarkEnd w:id="91"/>
      <w:bookmarkEnd w:id="92"/>
    </w:p>
    <w:p w14:paraId="51EE01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E12EA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DBE13DE">
      <w:pPr>
        <w:spacing w:line="360" w:lineRule="auto"/>
        <w:ind w:firstLine="437"/>
        <w:outlineLvl w:val="3"/>
        <w:rPr>
          <w:rFonts w:asciiTheme="minorEastAsia" w:hAnsiTheme="minorEastAsia" w:eastAsiaTheme="minorEastAsia"/>
          <w:b/>
          <w:bCs/>
          <w:color w:val="auto"/>
          <w:sz w:val="24"/>
          <w:highlight w:val="none"/>
          <w:lang w:val="zh-CN"/>
        </w:rPr>
      </w:pPr>
      <w:bookmarkStart w:id="93" w:name="_Toc32071"/>
      <w:bookmarkStart w:id="94" w:name="_Toc19304"/>
      <w:bookmarkStart w:id="95"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93"/>
      <w:bookmarkEnd w:id="94"/>
      <w:bookmarkEnd w:id="95"/>
    </w:p>
    <w:p w14:paraId="6F8FDAF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260617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0B4EC0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2E9FCD8">
      <w:pPr>
        <w:spacing w:line="360" w:lineRule="auto"/>
        <w:ind w:firstLine="437"/>
        <w:outlineLvl w:val="3"/>
        <w:rPr>
          <w:rFonts w:asciiTheme="minorEastAsia" w:hAnsiTheme="minorEastAsia" w:eastAsiaTheme="minorEastAsia"/>
          <w:b/>
          <w:bCs/>
          <w:color w:val="auto"/>
          <w:sz w:val="24"/>
          <w:highlight w:val="none"/>
          <w:lang w:val="zh-CN"/>
        </w:rPr>
      </w:pPr>
      <w:bookmarkStart w:id="96" w:name="_Toc21423"/>
      <w:bookmarkStart w:id="97" w:name="_Toc19554"/>
      <w:bookmarkStart w:id="98" w:name="_Toc27250"/>
      <w:r>
        <w:rPr>
          <w:rFonts w:hint="eastAsia" w:asciiTheme="minorEastAsia" w:hAnsiTheme="minorEastAsia" w:eastAsiaTheme="minorEastAsia"/>
          <w:b/>
          <w:bCs/>
          <w:color w:val="auto"/>
          <w:sz w:val="24"/>
          <w:highlight w:val="none"/>
          <w:lang w:val="zh-CN"/>
        </w:rPr>
        <w:t>1.6 违约责任</w:t>
      </w:r>
      <w:bookmarkEnd w:id="96"/>
      <w:bookmarkEnd w:id="97"/>
      <w:bookmarkEnd w:id="98"/>
    </w:p>
    <w:p w14:paraId="1423DB6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A88CAA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8254A2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58128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571315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63B00234">
      <w:pPr>
        <w:spacing w:line="360" w:lineRule="auto"/>
        <w:ind w:firstLine="437"/>
        <w:outlineLvl w:val="3"/>
        <w:rPr>
          <w:rFonts w:asciiTheme="minorEastAsia" w:hAnsiTheme="minorEastAsia" w:eastAsiaTheme="minorEastAsia"/>
          <w:b/>
          <w:bCs/>
          <w:color w:val="auto"/>
          <w:sz w:val="24"/>
          <w:highlight w:val="none"/>
          <w:lang w:val="zh-CN"/>
        </w:rPr>
      </w:pPr>
      <w:bookmarkStart w:id="99" w:name="_Toc16021"/>
      <w:bookmarkStart w:id="100" w:name="_Toc15583"/>
      <w:bookmarkStart w:id="101"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9"/>
      <w:bookmarkEnd w:id="100"/>
      <w:bookmarkEnd w:id="101"/>
    </w:p>
    <w:p w14:paraId="744892F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26F39AB5">
      <w:pPr>
        <w:spacing w:line="360" w:lineRule="auto"/>
        <w:ind w:firstLine="437"/>
        <w:outlineLvl w:val="3"/>
        <w:rPr>
          <w:rFonts w:asciiTheme="minorEastAsia" w:hAnsiTheme="minorEastAsia" w:eastAsiaTheme="minorEastAsia"/>
          <w:b/>
          <w:bCs/>
          <w:color w:val="auto"/>
          <w:sz w:val="24"/>
          <w:highlight w:val="none"/>
          <w:lang w:val="zh-CN"/>
        </w:rPr>
      </w:pPr>
      <w:bookmarkStart w:id="102" w:name="_Toc11173"/>
      <w:bookmarkStart w:id="103" w:name="_Toc15322"/>
      <w:bookmarkStart w:id="104"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2"/>
      <w:bookmarkEnd w:id="103"/>
      <w:bookmarkEnd w:id="104"/>
    </w:p>
    <w:p w14:paraId="205E788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0771E9DD">
      <w:pPr>
        <w:autoSpaceDE w:val="0"/>
        <w:autoSpaceDN w:val="0"/>
        <w:adjustRightInd w:val="0"/>
        <w:spacing w:line="560" w:lineRule="exact"/>
        <w:rPr>
          <w:rFonts w:asciiTheme="minorEastAsia" w:hAnsiTheme="minorEastAsia" w:eastAsiaTheme="minorEastAsia"/>
          <w:color w:val="auto"/>
          <w:sz w:val="24"/>
          <w:highlight w:val="none"/>
          <w:lang w:val="zh-CN"/>
        </w:rPr>
      </w:pPr>
    </w:p>
    <w:p w14:paraId="2D0098AC">
      <w:pPr>
        <w:autoSpaceDE w:val="0"/>
        <w:autoSpaceDN w:val="0"/>
        <w:adjustRightInd w:val="0"/>
        <w:spacing w:line="560" w:lineRule="exact"/>
        <w:rPr>
          <w:rFonts w:asciiTheme="minorEastAsia" w:hAnsiTheme="minorEastAsia" w:eastAsiaTheme="minorEastAsia"/>
          <w:color w:val="auto"/>
          <w:sz w:val="24"/>
          <w:highlight w:val="none"/>
          <w:lang w:val="zh-CN"/>
        </w:rPr>
      </w:pPr>
    </w:p>
    <w:p w14:paraId="4224213E">
      <w:pPr>
        <w:autoSpaceDE w:val="0"/>
        <w:autoSpaceDN w:val="0"/>
        <w:adjustRightInd w:val="0"/>
        <w:spacing w:line="560" w:lineRule="exact"/>
        <w:rPr>
          <w:rFonts w:asciiTheme="minorEastAsia" w:hAnsiTheme="minorEastAsia" w:eastAsiaTheme="minorEastAsia"/>
          <w:color w:val="auto"/>
          <w:sz w:val="24"/>
          <w:highlight w:val="none"/>
          <w:lang w:val="zh-CN"/>
        </w:rPr>
      </w:pPr>
    </w:p>
    <w:p w14:paraId="1A3EF9CB">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BE0B36D">
      <w:pPr>
        <w:widowControl/>
        <w:spacing w:line="560" w:lineRule="exact"/>
        <w:jc w:val="left"/>
        <w:rPr>
          <w:rFonts w:hint="eastAsia" w:asciiTheme="minorEastAsia" w:hAnsiTheme="minorEastAsia" w:eastAsiaTheme="minorEastAsia"/>
          <w:bCs/>
          <w:color w:val="auto"/>
          <w:sz w:val="24"/>
          <w:highlight w:val="none"/>
        </w:rPr>
      </w:pPr>
    </w:p>
    <w:p w14:paraId="1D946788">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710E4714">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6088684">
      <w:pPr>
        <w:pStyle w:val="47"/>
        <w:rPr>
          <w:rFonts w:ascii="宋体" w:hAnsi="宋体" w:cs="宋体"/>
          <w:color w:val="auto"/>
          <w:szCs w:val="21"/>
          <w:highlight w:val="none"/>
        </w:rPr>
      </w:pPr>
    </w:p>
    <w:p w14:paraId="7EE8BA91">
      <w:pPr>
        <w:pStyle w:val="47"/>
        <w:rPr>
          <w:rFonts w:ascii="宋体" w:hAnsi="宋体" w:cs="宋体"/>
          <w:color w:val="auto"/>
          <w:szCs w:val="21"/>
          <w:highlight w:val="none"/>
        </w:rPr>
      </w:pPr>
    </w:p>
    <w:p w14:paraId="7E1F1240">
      <w:pPr>
        <w:pStyle w:val="47"/>
        <w:rPr>
          <w:rFonts w:ascii="宋体" w:hAnsi="宋体" w:cs="宋体"/>
          <w:color w:val="auto"/>
          <w:szCs w:val="21"/>
          <w:highlight w:val="none"/>
        </w:rPr>
      </w:pPr>
    </w:p>
    <w:p w14:paraId="77353355">
      <w:pPr>
        <w:pStyle w:val="47"/>
        <w:rPr>
          <w:rFonts w:ascii="宋体" w:hAnsi="宋体" w:cs="宋体"/>
          <w:color w:val="auto"/>
          <w:szCs w:val="21"/>
          <w:highlight w:val="none"/>
        </w:rPr>
      </w:pPr>
    </w:p>
    <w:p w14:paraId="28F237D8">
      <w:pPr>
        <w:pStyle w:val="47"/>
        <w:rPr>
          <w:rFonts w:ascii="宋体" w:hAnsi="宋体" w:cs="宋体"/>
          <w:color w:val="auto"/>
          <w:szCs w:val="21"/>
          <w:highlight w:val="none"/>
        </w:rPr>
      </w:pPr>
    </w:p>
    <w:p w14:paraId="50B5EF6B">
      <w:pPr>
        <w:pStyle w:val="47"/>
        <w:rPr>
          <w:rFonts w:ascii="宋体" w:hAnsi="宋体" w:cs="宋体"/>
          <w:color w:val="auto"/>
          <w:szCs w:val="21"/>
          <w:highlight w:val="none"/>
        </w:rPr>
      </w:pPr>
    </w:p>
    <w:p w14:paraId="6333ECD9">
      <w:pPr>
        <w:pStyle w:val="47"/>
        <w:rPr>
          <w:rFonts w:ascii="宋体" w:hAnsi="宋体" w:cs="宋体"/>
          <w:color w:val="auto"/>
          <w:szCs w:val="21"/>
          <w:highlight w:val="none"/>
        </w:rPr>
      </w:pPr>
    </w:p>
    <w:p w14:paraId="389E5C4C">
      <w:pPr>
        <w:pStyle w:val="47"/>
        <w:rPr>
          <w:rFonts w:ascii="宋体" w:hAnsi="宋体" w:cs="宋体"/>
          <w:color w:val="auto"/>
          <w:szCs w:val="21"/>
          <w:highlight w:val="none"/>
        </w:rPr>
      </w:pPr>
    </w:p>
    <w:p w14:paraId="414869AC">
      <w:pPr>
        <w:pStyle w:val="47"/>
        <w:rPr>
          <w:rFonts w:ascii="宋体" w:hAnsi="宋体" w:cs="宋体"/>
          <w:color w:val="auto"/>
          <w:szCs w:val="21"/>
          <w:highlight w:val="none"/>
        </w:rPr>
      </w:pPr>
    </w:p>
    <w:p w14:paraId="07A3FE83">
      <w:pPr>
        <w:pStyle w:val="47"/>
        <w:rPr>
          <w:rFonts w:ascii="宋体" w:hAnsi="宋体" w:cs="宋体"/>
          <w:color w:val="auto"/>
          <w:szCs w:val="21"/>
          <w:highlight w:val="none"/>
        </w:rPr>
      </w:pPr>
    </w:p>
    <w:p w14:paraId="34D15801">
      <w:pPr>
        <w:pStyle w:val="47"/>
        <w:ind w:left="0" w:leftChars="0" w:firstLine="0" w:firstLineChars="0"/>
        <w:rPr>
          <w:rFonts w:ascii="宋体" w:hAnsi="宋体" w:cs="宋体"/>
          <w:color w:val="auto"/>
          <w:szCs w:val="21"/>
          <w:highlight w:val="none"/>
        </w:rPr>
      </w:pPr>
    </w:p>
    <w:p w14:paraId="6E30CF3A">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14:paraId="4EC01A8F">
      <w:pPr>
        <w:spacing w:line="360" w:lineRule="auto"/>
        <w:ind w:firstLine="437"/>
        <w:outlineLvl w:val="3"/>
        <w:rPr>
          <w:rFonts w:asciiTheme="minorEastAsia" w:hAnsiTheme="minorEastAsia" w:eastAsiaTheme="minorEastAsia"/>
          <w:b/>
          <w:bCs/>
          <w:color w:val="auto"/>
          <w:sz w:val="24"/>
          <w:highlight w:val="none"/>
          <w:lang w:val="zh-CN"/>
        </w:rPr>
      </w:pPr>
      <w:bookmarkStart w:id="105" w:name="_Ref467379214"/>
      <w:bookmarkStart w:id="106" w:name="_Toc19614"/>
      <w:bookmarkStart w:id="107" w:name="_Toc259093669"/>
      <w:bookmarkStart w:id="108" w:name="_Ref467379195"/>
      <w:bookmarkStart w:id="109" w:name="_Ref467379094"/>
      <w:bookmarkStart w:id="110" w:name="_Ref467378463"/>
      <w:bookmarkStart w:id="111" w:name="_Ref467378499"/>
      <w:bookmarkStart w:id="112" w:name="_Toc279701240"/>
      <w:bookmarkStart w:id="113" w:name="_Ref467379225"/>
      <w:bookmarkStart w:id="114" w:name="_Ref467379109"/>
      <w:bookmarkStart w:id="115" w:name="_Ref467379205"/>
      <w:bookmarkStart w:id="116" w:name="_Toc487900349"/>
      <w:bookmarkStart w:id="117" w:name="_Ref467378404"/>
      <w:bookmarkStart w:id="118" w:name="_Toc16917"/>
      <w:bookmarkStart w:id="119" w:name="_Toc28763"/>
      <w:bookmarkStart w:id="120" w:name="_Ref467379101"/>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19782D1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14:paraId="4367BF4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签订的载明双方当事人所达成的协议，并包括所有的附件、附录和构成合同的其他文件。</w:t>
      </w:r>
    </w:p>
    <w:p w14:paraId="012EC61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的价格。</w:t>
      </w:r>
    </w:p>
    <w:p w14:paraId="75E65D4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1.3“货物”系指</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根据合同约定应向采购人交付的一切</w:t>
      </w:r>
      <w:r>
        <w:rPr>
          <w:rFonts w:hint="eastAsia" w:asciiTheme="minorEastAsia" w:hAnsiTheme="minorEastAsia" w:eastAsiaTheme="minorEastAsia"/>
          <w:color w:val="auto"/>
          <w:sz w:val="24"/>
          <w:highlight w:val="none"/>
        </w:rPr>
        <w:t>各种形态和种类的物品，包括原材料、燃料、设备、</w:t>
      </w:r>
      <w:r>
        <w:rPr>
          <w:rFonts w:asciiTheme="minorEastAsia" w:hAnsiTheme="minorEastAsia" w:eastAsiaTheme="minorEastAsia"/>
          <w:color w:val="auto"/>
          <w:sz w:val="24"/>
          <w:highlight w:val="none"/>
        </w:rPr>
        <w:t>机械、仪表、备件</w:t>
      </w:r>
      <w:r>
        <w:rPr>
          <w:rFonts w:hint="eastAsia" w:asciiTheme="minorEastAsia" w:hAnsiTheme="minorEastAsia" w:eastAsiaTheme="minorEastAsia"/>
          <w:color w:val="auto"/>
          <w:sz w:val="24"/>
          <w:highlight w:val="none"/>
        </w:rPr>
        <w:t>、计算机软件、产品等</w:t>
      </w:r>
      <w:r>
        <w:rPr>
          <w:rFonts w:asciiTheme="minorEastAsia" w:hAnsiTheme="minorEastAsia" w:eastAsiaTheme="minorEastAsia"/>
          <w:color w:val="auto"/>
          <w:sz w:val="24"/>
          <w:highlight w:val="none"/>
        </w:rPr>
        <w:t>，并包括工具、手册等其他相关资料。</w:t>
      </w:r>
    </w:p>
    <w:p w14:paraId="59111B61">
      <w:pPr>
        <w:spacing w:line="360" w:lineRule="auto"/>
        <w:ind w:firstLine="435"/>
        <w:rPr>
          <w:rFonts w:asciiTheme="minorEastAsia" w:hAnsiTheme="minorEastAsia" w:eastAsiaTheme="minorEastAsia"/>
          <w:color w:val="auto"/>
          <w:sz w:val="24"/>
          <w:highlight w:val="none"/>
        </w:rPr>
      </w:pPr>
      <w:bookmarkStart w:id="121"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签署合同的采购人</w:t>
      </w:r>
      <w:bookmarkEnd w:id="121"/>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14:paraId="02E884B3">
      <w:pPr>
        <w:spacing w:line="360" w:lineRule="auto"/>
        <w:ind w:firstLine="435"/>
        <w:rPr>
          <w:rFonts w:asciiTheme="minorEastAsia" w:hAnsiTheme="minorEastAsia" w:eastAsiaTheme="minorEastAsia"/>
          <w:color w:val="auto"/>
          <w:sz w:val="24"/>
          <w:highlight w:val="none"/>
        </w:rPr>
      </w:pPr>
      <w:bookmarkStart w:id="122"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bookmarkEnd w:id="122"/>
      <w:r>
        <w:rPr>
          <w:rFonts w:hint="eastAsia" w:asciiTheme="minorEastAsia" w:hAnsiTheme="minorEastAsia" w:eastAsiaTheme="minorEastAsia"/>
          <w:color w:val="auto"/>
          <w:sz w:val="24"/>
          <w:highlight w:val="none"/>
          <w:lang w:eastAsia="zh-CN"/>
        </w:rPr>
        <w:t>成交人</w:t>
      </w:r>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6FF754F8">
      <w:pPr>
        <w:spacing w:line="360" w:lineRule="auto"/>
        <w:ind w:firstLine="435"/>
        <w:rPr>
          <w:rFonts w:asciiTheme="minorEastAsia" w:hAnsiTheme="minorEastAsia" w:eastAsiaTheme="minorEastAsia"/>
          <w:color w:val="auto"/>
          <w:sz w:val="24"/>
          <w:highlight w:val="none"/>
        </w:rPr>
      </w:pPr>
      <w:bookmarkStart w:id="123"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23"/>
    </w:p>
    <w:p w14:paraId="6A2BE009">
      <w:pPr>
        <w:spacing w:line="360" w:lineRule="auto"/>
        <w:ind w:firstLine="437"/>
        <w:outlineLvl w:val="3"/>
        <w:rPr>
          <w:rFonts w:asciiTheme="minorEastAsia" w:hAnsiTheme="minorEastAsia" w:eastAsiaTheme="minorEastAsia"/>
          <w:b/>
          <w:bCs/>
          <w:color w:val="auto"/>
          <w:sz w:val="24"/>
          <w:highlight w:val="none"/>
          <w:lang w:val="zh-CN"/>
        </w:rPr>
      </w:pPr>
      <w:bookmarkStart w:id="124" w:name="_Toc27635"/>
      <w:bookmarkStart w:id="125" w:name="_Toc279701241"/>
      <w:bookmarkStart w:id="126" w:name="_Toc32504"/>
      <w:bookmarkStart w:id="127" w:name="_Toc259093670"/>
      <w:bookmarkStart w:id="128" w:name="_Toc487900350"/>
      <w:bookmarkStart w:id="129" w:name="_Toc13336"/>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24"/>
      <w:bookmarkEnd w:id="125"/>
      <w:bookmarkEnd w:id="126"/>
      <w:bookmarkEnd w:id="127"/>
      <w:bookmarkEnd w:id="128"/>
      <w:bookmarkEnd w:id="129"/>
    </w:p>
    <w:p w14:paraId="5C4F955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14:paraId="3E356569">
      <w:pPr>
        <w:spacing w:line="360" w:lineRule="auto"/>
        <w:ind w:firstLine="437"/>
        <w:outlineLvl w:val="3"/>
        <w:rPr>
          <w:rFonts w:asciiTheme="minorEastAsia" w:hAnsiTheme="minorEastAsia" w:eastAsiaTheme="minorEastAsia"/>
          <w:b/>
          <w:bCs/>
          <w:color w:val="auto"/>
          <w:sz w:val="24"/>
          <w:highlight w:val="none"/>
          <w:lang w:val="zh-CN"/>
        </w:rPr>
      </w:pPr>
      <w:bookmarkStart w:id="130" w:name="_Toc27853"/>
      <w:bookmarkStart w:id="131" w:name="_Toc9829"/>
      <w:bookmarkStart w:id="132" w:name="_Toc279701242"/>
      <w:bookmarkStart w:id="133" w:name="_Toc259093671"/>
      <w:bookmarkStart w:id="134" w:name="_Toc487900351"/>
      <w:bookmarkStart w:id="135" w:name="_Toc31634"/>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30"/>
      <w:bookmarkEnd w:id="131"/>
      <w:bookmarkEnd w:id="132"/>
      <w:bookmarkEnd w:id="133"/>
      <w:bookmarkEnd w:id="134"/>
      <w:bookmarkEnd w:id="135"/>
    </w:p>
    <w:p w14:paraId="265E840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14:paraId="392EC44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676B3625">
      <w:pPr>
        <w:spacing w:line="360" w:lineRule="auto"/>
        <w:ind w:firstLine="437"/>
        <w:outlineLvl w:val="3"/>
        <w:rPr>
          <w:rFonts w:asciiTheme="minorEastAsia" w:hAnsiTheme="minorEastAsia" w:eastAsiaTheme="minorEastAsia"/>
          <w:b/>
          <w:color w:val="auto"/>
          <w:sz w:val="24"/>
          <w:highlight w:val="none"/>
        </w:rPr>
      </w:pPr>
      <w:bookmarkStart w:id="136" w:name="_Toc29149"/>
      <w:bookmarkStart w:id="137" w:name="_Toc11932"/>
      <w:bookmarkStart w:id="138" w:name="_Toc4194"/>
      <w:r>
        <w:rPr>
          <w:rFonts w:hint="eastAsia" w:asciiTheme="minorEastAsia" w:hAnsiTheme="minorEastAsia" w:eastAsiaTheme="minorEastAsia"/>
          <w:b/>
          <w:bCs/>
          <w:color w:val="auto"/>
          <w:sz w:val="24"/>
          <w:highlight w:val="none"/>
          <w:lang w:val="zh-CN"/>
        </w:rPr>
        <w:t>2.4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包装和装运</w:t>
      </w:r>
      <w:bookmarkEnd w:id="136"/>
      <w:bookmarkEnd w:id="137"/>
      <w:bookmarkEnd w:id="138"/>
    </w:p>
    <w:p w14:paraId="1377044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2.4.1除</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另有约定外</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乙方交付的全部货物</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735D601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2.4.2装运货物的要求和通知，详见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w:t>
      </w:r>
    </w:p>
    <w:p w14:paraId="19158A97">
      <w:pPr>
        <w:spacing w:line="360" w:lineRule="auto"/>
        <w:ind w:firstLine="437"/>
        <w:outlineLvl w:val="3"/>
        <w:rPr>
          <w:rFonts w:asciiTheme="minorEastAsia" w:hAnsiTheme="minorEastAsia" w:eastAsiaTheme="minorEastAsia"/>
          <w:b/>
          <w:bCs/>
          <w:color w:val="auto"/>
          <w:sz w:val="24"/>
          <w:highlight w:val="none"/>
          <w:lang w:val="zh-CN"/>
        </w:rPr>
      </w:pPr>
      <w:bookmarkStart w:id="139" w:name="_Ref467379527"/>
      <w:bookmarkStart w:id="140" w:name="_Toc487900354"/>
      <w:bookmarkStart w:id="141" w:name="_Toc259093674"/>
      <w:bookmarkStart w:id="142" w:name="_Ref467378541"/>
      <w:bookmarkStart w:id="143" w:name="_Toc279701245"/>
      <w:bookmarkStart w:id="144" w:name="_Ref467379542"/>
      <w:bookmarkStart w:id="145" w:name="_Ref467379536"/>
      <w:bookmarkStart w:id="146" w:name="_Ref467378591"/>
      <w:bookmarkStart w:id="147" w:name="_Toc19074"/>
      <w:bookmarkStart w:id="148" w:name="_Toc30272"/>
      <w:bookmarkStart w:id="149" w:name="_Toc26182"/>
      <w:r>
        <w:rPr>
          <w:rFonts w:hint="eastAsia" w:asciiTheme="minorEastAsia" w:hAnsiTheme="minorEastAsia" w:eastAsiaTheme="minorEastAsia"/>
          <w:b/>
          <w:bCs/>
          <w:color w:val="auto"/>
          <w:sz w:val="24"/>
          <w:highlight w:val="none"/>
          <w:lang w:val="zh-CN"/>
        </w:rPr>
        <w:t>2.</w:t>
      </w:r>
      <w:bookmarkEnd w:id="139"/>
      <w:bookmarkEnd w:id="140"/>
      <w:bookmarkEnd w:id="141"/>
      <w:bookmarkEnd w:id="142"/>
      <w:bookmarkEnd w:id="143"/>
      <w:bookmarkEnd w:id="144"/>
      <w:bookmarkEnd w:id="145"/>
      <w:bookmarkEnd w:id="146"/>
      <w:r>
        <w:rPr>
          <w:rFonts w:hint="eastAsia" w:asciiTheme="minorEastAsia" w:hAnsiTheme="minorEastAsia" w:eastAsiaTheme="minorEastAsia"/>
          <w:b/>
          <w:bCs/>
          <w:color w:val="auto"/>
          <w:sz w:val="24"/>
          <w:highlight w:val="none"/>
          <w:lang w:val="zh-CN"/>
        </w:rPr>
        <w:t>5</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47"/>
      <w:bookmarkEnd w:id="148"/>
      <w:bookmarkEnd w:id="149"/>
    </w:p>
    <w:p w14:paraId="779BA1F1">
      <w:pPr>
        <w:spacing w:line="360" w:lineRule="auto"/>
        <w:ind w:firstLine="435"/>
        <w:rPr>
          <w:rFonts w:asciiTheme="minorEastAsia" w:hAnsiTheme="minorEastAsia" w:eastAsiaTheme="minorEastAsia"/>
          <w:color w:val="auto"/>
          <w:sz w:val="24"/>
          <w:highlight w:val="none"/>
        </w:rPr>
      </w:pPr>
      <w:bookmarkStart w:id="150" w:name="_Ref467379657"/>
      <w:r>
        <w:rPr>
          <w:rFonts w:hint="eastAsia" w:asciiTheme="minorEastAsia" w:hAnsiTheme="minorEastAsia" w:eastAsiaTheme="minorEastAsia"/>
          <w:color w:val="auto"/>
          <w:sz w:val="24"/>
          <w:highlight w:val="none"/>
        </w:rPr>
        <w:t>2.5</w:t>
      </w:r>
      <w:r>
        <w:rPr>
          <w:rFonts w:asciiTheme="minorEastAsia" w:hAnsiTheme="minorEastAsia" w:eastAsiaTheme="minorEastAsia"/>
          <w:color w:val="auto"/>
          <w:sz w:val="24"/>
          <w:highlight w:val="none"/>
        </w:rPr>
        <w:t>.1</w:t>
      </w:r>
      <w:bookmarkEnd w:id="150"/>
      <w:bookmarkStart w:id="151" w:name="_Toc186431854"/>
      <w:bookmarkStart w:id="152" w:name="_Toc279701247"/>
      <w:bookmarkStart w:id="153" w:name="_Ref467379807"/>
      <w:bookmarkStart w:id="154" w:name="_Toc259093676"/>
      <w:bookmarkStart w:id="155" w:name="_Ref467379793"/>
      <w:bookmarkStart w:id="156" w:name="_Toc487900357"/>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，对乙方是否能够按照合同约定交付货物进行履约检查，以确保乙方所交付的货物能够依约满足甲方项目需求，但不得因履约检查妨碍乙方的正常工作，乙方应予积极配合；</w:t>
      </w:r>
    </w:p>
    <w:p w14:paraId="4474146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2.5.2合同履行期间，甲方有权将履行过程中出现的问题反馈给乙方，双方当事人应以书面形式约定需要完善和改进的内容</w:t>
      </w:r>
      <w:bookmarkEnd w:id="151"/>
      <w:bookmarkStart w:id="157" w:name="_Toc186431855"/>
      <w:r>
        <w:rPr>
          <w:rFonts w:hint="eastAsia" w:asciiTheme="minorEastAsia" w:hAnsiTheme="minorEastAsia" w:eastAsiaTheme="minorEastAsia"/>
          <w:color w:val="auto"/>
          <w:sz w:val="24"/>
          <w:highlight w:val="none"/>
        </w:rPr>
        <w:t>。</w:t>
      </w:r>
    </w:p>
    <w:bookmarkEnd w:id="157"/>
    <w:p w14:paraId="58D5FD24">
      <w:pPr>
        <w:spacing w:line="360" w:lineRule="auto"/>
        <w:ind w:firstLine="437"/>
        <w:outlineLvl w:val="3"/>
        <w:rPr>
          <w:rFonts w:asciiTheme="minorEastAsia" w:hAnsiTheme="minorEastAsia" w:eastAsiaTheme="minorEastAsia"/>
          <w:b/>
          <w:bCs/>
          <w:color w:val="auto"/>
          <w:sz w:val="24"/>
          <w:highlight w:val="none"/>
          <w:lang w:val="zh-CN"/>
        </w:rPr>
      </w:pPr>
      <w:bookmarkStart w:id="158" w:name="_Toc19219"/>
      <w:bookmarkStart w:id="159" w:name="_Toc7836"/>
      <w:bookmarkStart w:id="160" w:name="_Toc28451"/>
      <w:r>
        <w:rPr>
          <w:rFonts w:hint="eastAsia" w:asciiTheme="minorEastAsia" w:hAnsiTheme="minorEastAsia" w:eastAsiaTheme="minorEastAsia"/>
          <w:b/>
          <w:bCs/>
          <w:color w:val="auto"/>
          <w:sz w:val="24"/>
          <w:highlight w:val="none"/>
          <w:lang w:val="zh-CN"/>
        </w:rPr>
        <w:t xml:space="preserve">2.6 </w:t>
      </w:r>
      <w:r>
        <w:rPr>
          <w:rFonts w:asciiTheme="minorEastAsia" w:hAnsiTheme="minorEastAsia" w:eastAsiaTheme="minorEastAsia"/>
          <w:b/>
          <w:bCs/>
          <w:color w:val="auto"/>
          <w:sz w:val="24"/>
          <w:highlight w:val="none"/>
          <w:lang w:val="zh-CN"/>
        </w:rPr>
        <w:t>结算方式和付款条件</w:t>
      </w:r>
      <w:bookmarkEnd w:id="152"/>
      <w:bookmarkEnd w:id="153"/>
      <w:bookmarkEnd w:id="154"/>
      <w:bookmarkEnd w:id="155"/>
      <w:bookmarkEnd w:id="156"/>
      <w:bookmarkEnd w:id="158"/>
      <w:bookmarkEnd w:id="159"/>
      <w:bookmarkEnd w:id="160"/>
    </w:p>
    <w:p w14:paraId="1839D95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0CCFE661">
      <w:pPr>
        <w:spacing w:line="360" w:lineRule="auto"/>
        <w:ind w:firstLine="437"/>
        <w:outlineLvl w:val="3"/>
        <w:rPr>
          <w:rFonts w:asciiTheme="minorEastAsia" w:hAnsiTheme="minorEastAsia" w:eastAsiaTheme="minorEastAsia"/>
          <w:b/>
          <w:bCs/>
          <w:color w:val="auto"/>
          <w:sz w:val="24"/>
          <w:highlight w:val="none"/>
          <w:lang w:val="zh-CN"/>
        </w:rPr>
      </w:pPr>
      <w:bookmarkStart w:id="161" w:name="_Toc279701248"/>
      <w:bookmarkStart w:id="162" w:name="_Toc487900358"/>
      <w:bookmarkStart w:id="163" w:name="_Ref467379852"/>
      <w:bookmarkStart w:id="164" w:name="_Toc259093677"/>
      <w:bookmarkStart w:id="165" w:name="_Ref467379863"/>
      <w:bookmarkStart w:id="166" w:name="_Ref467379923"/>
      <w:bookmarkStart w:id="167" w:name="_Toc3225"/>
      <w:bookmarkStart w:id="168" w:name="_Toc774"/>
      <w:bookmarkStart w:id="169" w:name="_Toc16110"/>
      <w:r>
        <w:rPr>
          <w:rFonts w:hint="eastAsia" w:asciiTheme="minorEastAsia" w:hAnsiTheme="minorEastAsia" w:eastAsiaTheme="minorEastAsia"/>
          <w:b/>
          <w:bCs/>
          <w:color w:val="auto"/>
          <w:sz w:val="24"/>
          <w:highlight w:val="none"/>
          <w:lang w:val="zh-CN"/>
        </w:rPr>
        <w:t xml:space="preserve">2.7 </w:t>
      </w:r>
      <w:r>
        <w:rPr>
          <w:rFonts w:asciiTheme="minorEastAsia" w:hAnsiTheme="minorEastAsia" w:eastAsiaTheme="minorEastAsia"/>
          <w:b/>
          <w:bCs/>
          <w:color w:val="auto"/>
          <w:sz w:val="24"/>
          <w:highlight w:val="none"/>
          <w:lang w:val="zh-CN"/>
        </w:rPr>
        <w:t>技术资料</w:t>
      </w:r>
      <w:bookmarkEnd w:id="161"/>
      <w:bookmarkEnd w:id="162"/>
      <w:bookmarkEnd w:id="163"/>
      <w:bookmarkEnd w:id="164"/>
      <w:bookmarkEnd w:id="165"/>
      <w:bookmarkEnd w:id="166"/>
      <w:r>
        <w:rPr>
          <w:rFonts w:asciiTheme="minorEastAsia" w:hAnsiTheme="minorEastAsia" w:eastAsiaTheme="minorEastAsia"/>
          <w:b/>
          <w:bCs/>
          <w:color w:val="auto"/>
          <w:sz w:val="24"/>
          <w:highlight w:val="none"/>
          <w:lang w:val="zh-CN"/>
        </w:rPr>
        <w:t>和保密义务</w:t>
      </w:r>
      <w:bookmarkEnd w:id="167"/>
      <w:bookmarkEnd w:id="168"/>
      <w:bookmarkEnd w:id="169"/>
    </w:p>
    <w:p w14:paraId="3311A58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14:paraId="2593617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2.7.2乙方有义务妥善保管和保护由甲方提供的前款信息和资料等；</w:t>
      </w:r>
    </w:p>
    <w:p w14:paraId="6A4BC33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14:paraId="48F3464F">
      <w:pPr>
        <w:spacing w:line="360" w:lineRule="auto"/>
        <w:ind w:firstLine="437"/>
        <w:outlineLvl w:val="3"/>
        <w:rPr>
          <w:rFonts w:asciiTheme="minorEastAsia" w:hAnsiTheme="minorEastAsia" w:eastAsiaTheme="minorEastAsia"/>
          <w:b/>
          <w:bCs/>
          <w:color w:val="auto"/>
          <w:sz w:val="24"/>
          <w:highlight w:val="none"/>
          <w:lang w:val="zh-CN"/>
        </w:rPr>
      </w:pPr>
      <w:bookmarkStart w:id="170" w:name="_Toc7860"/>
      <w:r>
        <w:rPr>
          <w:rFonts w:asciiTheme="minorEastAsia" w:hAnsiTheme="minorEastAsia" w:eastAsiaTheme="minorEastAsia"/>
          <w:b/>
          <w:bCs/>
          <w:color w:val="auto"/>
          <w:sz w:val="24"/>
          <w:highlight w:val="none"/>
          <w:lang w:val="zh-CN"/>
        </w:rPr>
        <w:t>2.8 质量保证</w:t>
      </w:r>
      <w:bookmarkEnd w:id="170"/>
    </w:p>
    <w:p w14:paraId="519A8A1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2.8.1乙方应建立和完善履行合同的内部质量保证体系，并提供相关内部规章制度给甲方，以便甲方进行监督检查；</w:t>
      </w:r>
    </w:p>
    <w:p w14:paraId="3910749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2.8.2乙方应保证履行合同的人员数量和素质、软件和硬件设备的配置、场地、环境和设施等满足全面履行合同的要求，并应接受甲方的监督检查。</w:t>
      </w:r>
    </w:p>
    <w:p w14:paraId="7645CFBA">
      <w:pPr>
        <w:spacing w:line="360" w:lineRule="auto"/>
        <w:ind w:firstLine="437"/>
        <w:outlineLvl w:val="3"/>
        <w:rPr>
          <w:rFonts w:asciiTheme="minorEastAsia" w:hAnsiTheme="minorEastAsia" w:eastAsiaTheme="minorEastAsia"/>
          <w:b/>
          <w:bCs/>
          <w:color w:val="auto"/>
          <w:sz w:val="24"/>
          <w:highlight w:val="none"/>
          <w:lang w:val="zh-CN"/>
        </w:rPr>
      </w:pPr>
      <w:bookmarkStart w:id="171" w:name="_Toc17244"/>
      <w:bookmarkStart w:id="172" w:name="_Toc487900362"/>
      <w:bookmarkStart w:id="173" w:name="_Toc259093681"/>
      <w:bookmarkStart w:id="174" w:name="_Toc279701252"/>
      <w:r>
        <w:rPr>
          <w:rFonts w:asciiTheme="minorEastAsia" w:hAnsiTheme="minorEastAsia" w:eastAsiaTheme="minorEastAsia"/>
          <w:b/>
          <w:bCs/>
          <w:color w:val="auto"/>
          <w:sz w:val="24"/>
          <w:highlight w:val="none"/>
          <w:lang w:val="zh-CN"/>
        </w:rPr>
        <w:t>2.9 货物的风险负担</w:t>
      </w:r>
      <w:bookmarkEnd w:id="171"/>
    </w:p>
    <w:p w14:paraId="1CDF562A">
      <w:pPr>
        <w:spacing w:line="360" w:lineRule="auto"/>
        <w:ind w:firstLine="435"/>
        <w:rPr>
          <w:rFonts w:asciiTheme="minorEastAsia" w:hAnsiTheme="minorEastAsia" w:eastAsiaTheme="minorEastAsia"/>
          <w:b/>
          <w:color w:val="auto"/>
          <w:sz w:val="24"/>
          <w:highlight w:val="none"/>
        </w:rPr>
      </w:pPr>
      <w:r>
        <w:rPr>
          <w:rFonts w:hint="eastAsia" w:asciiTheme="minorEastAsia" w:hAnsiTheme="minorEastAsia" w:eastAsiaTheme="minorEastAsia"/>
          <w:color w:val="auto"/>
          <w:sz w:val="24"/>
          <w:highlight w:val="none"/>
        </w:rPr>
        <w:t>货物或者在途货物或者交付给第一承运人后的货物毁损、灭失的风险负担</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7507EC5A">
      <w:pPr>
        <w:spacing w:line="360" w:lineRule="auto"/>
        <w:ind w:firstLine="437"/>
        <w:outlineLvl w:val="3"/>
        <w:rPr>
          <w:rFonts w:asciiTheme="minorEastAsia" w:hAnsiTheme="minorEastAsia" w:eastAsiaTheme="minorEastAsia"/>
          <w:b/>
          <w:bCs/>
          <w:color w:val="auto"/>
          <w:sz w:val="24"/>
          <w:highlight w:val="none"/>
          <w:lang w:val="zh-CN"/>
        </w:rPr>
      </w:pPr>
      <w:bookmarkStart w:id="175" w:name="_Toc14055"/>
      <w:r>
        <w:rPr>
          <w:rFonts w:asciiTheme="minorEastAsia" w:hAnsiTheme="minorEastAsia" w:eastAsiaTheme="minorEastAsia"/>
          <w:b/>
          <w:bCs/>
          <w:color w:val="auto"/>
          <w:sz w:val="24"/>
          <w:highlight w:val="none"/>
          <w:lang w:val="zh-CN"/>
        </w:rPr>
        <w:t>2.10 延迟交货</w:t>
      </w:r>
      <w:bookmarkEnd w:id="172"/>
      <w:bookmarkEnd w:id="173"/>
      <w:bookmarkEnd w:id="174"/>
      <w:bookmarkEnd w:id="175"/>
    </w:p>
    <w:p w14:paraId="58EA2CD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在合同履行过程中，如果乙方遇到不能按时交付货物的情况，应及时以书面形式将不能按时</w:t>
      </w:r>
      <w:r>
        <w:rPr>
          <w:rFonts w:hint="eastAsia" w:asciiTheme="minorEastAsia" w:hAnsiTheme="minorEastAsia" w:eastAsiaTheme="minorEastAsia"/>
          <w:color w:val="auto"/>
          <w:sz w:val="24"/>
          <w:highlight w:val="none"/>
        </w:rPr>
        <w:t>交付货物</w:t>
      </w:r>
      <w:r>
        <w:rPr>
          <w:rFonts w:asciiTheme="minorEastAsia" w:hAnsiTheme="minorEastAsia" w:eastAsiaTheme="minorEastAsia"/>
          <w:color w:val="auto"/>
          <w:sz w:val="24"/>
          <w:highlight w:val="none"/>
        </w:rPr>
        <w:t>的理由、预期延误时间通知甲方</w:t>
      </w:r>
      <w:r>
        <w:rPr>
          <w:rFonts w:hint="eastAsia" w:asciiTheme="minorEastAsia" w:hAnsiTheme="minorEastAsia" w:eastAsiaTheme="minorEastAsia"/>
          <w:color w:val="auto"/>
          <w:sz w:val="24"/>
          <w:highlight w:val="none"/>
        </w:rPr>
        <w:t>；甲</w:t>
      </w:r>
      <w:r>
        <w:rPr>
          <w:rFonts w:asciiTheme="minorEastAsia" w:hAnsiTheme="minorEastAsia" w:eastAsiaTheme="minorEastAsia"/>
          <w:color w:val="auto"/>
          <w:sz w:val="24"/>
          <w:highlight w:val="none"/>
        </w:rPr>
        <w:t>方收到乙方通知后，认为其理由正当的，可以书面形式酌情同意乙方可以延长交货的具体时间。</w:t>
      </w:r>
    </w:p>
    <w:p w14:paraId="36B07D7A">
      <w:pPr>
        <w:spacing w:line="360" w:lineRule="auto"/>
        <w:ind w:firstLine="437"/>
        <w:outlineLvl w:val="3"/>
        <w:rPr>
          <w:rFonts w:asciiTheme="minorEastAsia" w:hAnsiTheme="minorEastAsia" w:eastAsiaTheme="minorEastAsia"/>
          <w:b/>
          <w:bCs/>
          <w:color w:val="auto"/>
          <w:sz w:val="24"/>
          <w:highlight w:val="none"/>
          <w:lang w:val="zh-CN"/>
        </w:rPr>
      </w:pPr>
      <w:bookmarkStart w:id="176" w:name="_Toc7502"/>
      <w:bookmarkStart w:id="177" w:name="_Toc259093683"/>
      <w:bookmarkStart w:id="178" w:name="_Toc279701254"/>
      <w:bookmarkStart w:id="179" w:name="_Ref467378121"/>
      <w:bookmarkStart w:id="180" w:name="_Toc487900364"/>
      <w:r>
        <w:rPr>
          <w:rFonts w:asciiTheme="minorEastAsia" w:hAnsiTheme="minorEastAsia" w:eastAsiaTheme="minorEastAsia"/>
          <w:b/>
          <w:bCs/>
          <w:color w:val="auto"/>
          <w:sz w:val="24"/>
          <w:highlight w:val="none"/>
          <w:lang w:val="zh-CN"/>
        </w:rPr>
        <w:t>2.11 合同变更</w:t>
      </w:r>
      <w:bookmarkEnd w:id="176"/>
    </w:p>
    <w:p w14:paraId="06C62A8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2.11.1双方当事人协商一致，可以签订书面补充合同的形式变更合同，但不得违背采购文件确定的事项；</w:t>
      </w:r>
    </w:p>
    <w:p w14:paraId="2900901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2.11.2合同继续履行将损害国家利益和社会公共利益的，双方当事人应当以书面形式变更合同。有过错的一方应当承担赔偿责任，双方当事人都有过错的，各自承担相应的责任。</w:t>
      </w:r>
      <w:bookmarkStart w:id="181" w:name="_Toc259093688"/>
      <w:bookmarkStart w:id="182" w:name="_Toc487900369"/>
      <w:bookmarkStart w:id="183" w:name="_Toc279701259"/>
    </w:p>
    <w:p w14:paraId="13CFE320">
      <w:pPr>
        <w:spacing w:line="360" w:lineRule="auto"/>
        <w:ind w:firstLine="437"/>
        <w:outlineLvl w:val="3"/>
        <w:rPr>
          <w:rFonts w:asciiTheme="minorEastAsia" w:hAnsiTheme="minorEastAsia" w:eastAsiaTheme="minorEastAsia"/>
          <w:b/>
          <w:bCs/>
          <w:color w:val="auto"/>
          <w:sz w:val="24"/>
          <w:highlight w:val="none"/>
          <w:lang w:val="zh-CN"/>
        </w:rPr>
      </w:pPr>
      <w:bookmarkStart w:id="184" w:name="_Toc15237"/>
      <w:bookmarkStart w:id="185" w:name="_Toc22955"/>
      <w:bookmarkStart w:id="186" w:name="_Toc10366"/>
      <w:r>
        <w:rPr>
          <w:rFonts w:hint="eastAsia" w:asciiTheme="minorEastAsia" w:hAnsiTheme="minorEastAsia" w:eastAsiaTheme="minorEastAsia"/>
          <w:b/>
          <w:bCs/>
          <w:color w:val="auto"/>
          <w:sz w:val="24"/>
          <w:highlight w:val="none"/>
          <w:lang w:val="zh-CN"/>
        </w:rPr>
        <w:t xml:space="preserve">2.12 </w:t>
      </w:r>
      <w:r>
        <w:rPr>
          <w:rFonts w:asciiTheme="minorEastAsia" w:hAnsiTheme="minorEastAsia" w:eastAsiaTheme="minorEastAsia"/>
          <w:b/>
          <w:bCs/>
          <w:color w:val="auto"/>
          <w:sz w:val="24"/>
          <w:highlight w:val="none"/>
          <w:lang w:val="zh-CN"/>
        </w:rPr>
        <w:t>合同转让</w:t>
      </w:r>
      <w:bookmarkEnd w:id="181"/>
      <w:bookmarkEnd w:id="182"/>
      <w:bookmarkEnd w:id="183"/>
      <w:r>
        <w:rPr>
          <w:rFonts w:asciiTheme="minorEastAsia" w:hAnsiTheme="minorEastAsia" w:eastAsiaTheme="minorEastAsia"/>
          <w:b/>
          <w:bCs/>
          <w:color w:val="auto"/>
          <w:sz w:val="24"/>
          <w:highlight w:val="none"/>
          <w:lang w:val="zh-CN"/>
        </w:rPr>
        <w:t>和分包</w:t>
      </w:r>
      <w:bookmarkEnd w:id="184"/>
      <w:bookmarkEnd w:id="185"/>
      <w:bookmarkEnd w:id="186"/>
    </w:p>
    <w:p w14:paraId="69892DD5">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14:paraId="340D6714">
      <w:pPr>
        <w:spacing w:line="360" w:lineRule="auto"/>
        <w:ind w:firstLine="437"/>
        <w:outlineLvl w:val="3"/>
        <w:rPr>
          <w:rFonts w:asciiTheme="minorEastAsia" w:hAnsiTheme="minorEastAsia" w:eastAsiaTheme="minorEastAsia"/>
          <w:b/>
          <w:bCs/>
          <w:color w:val="auto"/>
          <w:sz w:val="24"/>
          <w:highlight w:val="none"/>
          <w:lang w:val="zh-CN"/>
        </w:rPr>
      </w:pPr>
      <w:bookmarkStart w:id="187" w:name="_Toc13566"/>
      <w:bookmarkStart w:id="188" w:name="_Toc16508"/>
      <w:bookmarkStart w:id="189" w:name="_Toc14066"/>
      <w:r>
        <w:rPr>
          <w:rFonts w:hint="eastAsia" w:asciiTheme="minorEastAsia" w:hAnsiTheme="minorEastAsia" w:eastAsiaTheme="minorEastAsia"/>
          <w:b/>
          <w:bCs/>
          <w:color w:val="auto"/>
          <w:sz w:val="24"/>
          <w:highlight w:val="none"/>
          <w:lang w:val="zh-CN"/>
        </w:rPr>
        <w:t>2.13</w:t>
      </w:r>
      <w:r>
        <w:rPr>
          <w:rFonts w:asciiTheme="minorEastAsia" w:hAnsiTheme="minorEastAsia" w:eastAsiaTheme="minorEastAsia"/>
          <w:b/>
          <w:bCs/>
          <w:color w:val="auto"/>
          <w:sz w:val="24"/>
          <w:highlight w:val="none"/>
          <w:lang w:val="zh-CN"/>
        </w:rPr>
        <w:t xml:space="preserve"> 不可抗力</w:t>
      </w:r>
      <w:bookmarkEnd w:id="187"/>
      <w:bookmarkEnd w:id="188"/>
      <w:bookmarkEnd w:id="189"/>
    </w:p>
    <w:p w14:paraId="1C3867F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14:paraId="2B30623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2.13.2因不可抗力致使不能实现合同目的的，当事人可以解除合同；</w:t>
      </w:r>
    </w:p>
    <w:p w14:paraId="303A317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14:paraId="79E8DE2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14:paraId="2AD57BE7">
      <w:pPr>
        <w:spacing w:line="360" w:lineRule="auto"/>
        <w:ind w:firstLine="437"/>
        <w:outlineLvl w:val="3"/>
        <w:rPr>
          <w:rFonts w:asciiTheme="minorEastAsia" w:hAnsiTheme="minorEastAsia" w:eastAsiaTheme="minorEastAsia"/>
          <w:b/>
          <w:bCs/>
          <w:color w:val="auto"/>
          <w:sz w:val="24"/>
          <w:highlight w:val="none"/>
          <w:lang w:val="zh-CN"/>
        </w:rPr>
      </w:pPr>
      <w:bookmarkStart w:id="190" w:name="_Toc259093684"/>
      <w:bookmarkStart w:id="191" w:name="_Toc487900365"/>
      <w:bookmarkStart w:id="192" w:name="_Toc689"/>
      <w:bookmarkStart w:id="193" w:name="_Toc6969"/>
      <w:bookmarkStart w:id="194" w:name="_Toc30676"/>
      <w:bookmarkStart w:id="195" w:name="_Toc279701255"/>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4 </w:t>
      </w:r>
      <w:r>
        <w:rPr>
          <w:rFonts w:asciiTheme="minorEastAsia" w:hAnsiTheme="minorEastAsia" w:eastAsiaTheme="minorEastAsia"/>
          <w:b/>
          <w:bCs/>
          <w:color w:val="auto"/>
          <w:sz w:val="24"/>
          <w:highlight w:val="none"/>
          <w:lang w:val="zh-CN"/>
        </w:rPr>
        <w:t>税费</w:t>
      </w:r>
      <w:bookmarkEnd w:id="190"/>
      <w:bookmarkEnd w:id="191"/>
      <w:bookmarkEnd w:id="192"/>
      <w:bookmarkEnd w:id="193"/>
      <w:bookmarkEnd w:id="194"/>
      <w:bookmarkEnd w:id="195"/>
    </w:p>
    <w:p w14:paraId="23348DD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14:paraId="5AAB6D1A">
      <w:pPr>
        <w:spacing w:line="360" w:lineRule="auto"/>
        <w:ind w:firstLine="437"/>
        <w:outlineLvl w:val="3"/>
        <w:rPr>
          <w:rFonts w:asciiTheme="minorEastAsia" w:hAnsiTheme="minorEastAsia" w:eastAsiaTheme="minorEastAsia"/>
          <w:b/>
          <w:bCs/>
          <w:color w:val="auto"/>
          <w:sz w:val="24"/>
          <w:highlight w:val="none"/>
          <w:lang w:val="zh-CN"/>
        </w:rPr>
      </w:pPr>
      <w:bookmarkStart w:id="196" w:name="_Toc16959"/>
      <w:bookmarkStart w:id="197" w:name="_Toc7102"/>
      <w:bookmarkStart w:id="198" w:name="_Toc259093687"/>
      <w:bookmarkStart w:id="199" w:name="_Toc487900368"/>
      <w:bookmarkStart w:id="200" w:name="_Toc279701258"/>
      <w:bookmarkStart w:id="201" w:name="_Toc8298"/>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5 </w:t>
      </w:r>
      <w:r>
        <w:rPr>
          <w:rFonts w:asciiTheme="minorEastAsia" w:hAnsiTheme="minorEastAsia" w:eastAsiaTheme="minorEastAsia"/>
          <w:b/>
          <w:bCs/>
          <w:color w:val="auto"/>
          <w:sz w:val="24"/>
          <w:highlight w:val="none"/>
          <w:lang w:val="zh-CN"/>
        </w:rPr>
        <w:t>乙方破产</w:t>
      </w:r>
      <w:bookmarkEnd w:id="196"/>
      <w:bookmarkEnd w:id="197"/>
      <w:bookmarkEnd w:id="198"/>
      <w:bookmarkEnd w:id="199"/>
      <w:bookmarkEnd w:id="200"/>
      <w:bookmarkEnd w:id="201"/>
    </w:p>
    <w:p w14:paraId="1FA01E0A">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14:paraId="24FF58D9">
      <w:pPr>
        <w:spacing w:line="360" w:lineRule="auto"/>
        <w:ind w:firstLine="437"/>
        <w:outlineLvl w:val="3"/>
        <w:rPr>
          <w:rFonts w:asciiTheme="minorEastAsia" w:hAnsiTheme="minorEastAsia" w:eastAsiaTheme="minorEastAsia"/>
          <w:b/>
          <w:color w:val="auto"/>
          <w:sz w:val="24"/>
          <w:highlight w:val="none"/>
        </w:rPr>
      </w:pPr>
      <w:bookmarkStart w:id="202" w:name="_Toc15387"/>
      <w:bookmarkStart w:id="203" w:name="_Toc6134"/>
      <w:bookmarkStart w:id="204" w:name="_Toc29333"/>
      <w:r>
        <w:rPr>
          <w:rFonts w:hint="eastAsia" w:asciiTheme="minorEastAsia" w:hAnsiTheme="minorEastAsia" w:eastAsiaTheme="minorEastAsia"/>
          <w:b/>
          <w:bCs/>
          <w:color w:val="auto"/>
          <w:sz w:val="24"/>
          <w:highlight w:val="none"/>
          <w:lang w:val="zh-CN"/>
        </w:rPr>
        <w:t>2.16 合同中止、终止</w:t>
      </w:r>
      <w:bookmarkEnd w:id="202"/>
      <w:bookmarkEnd w:id="203"/>
      <w:bookmarkEnd w:id="204"/>
    </w:p>
    <w:p w14:paraId="14185CC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2.16.1双方当事人不得擅自中止或者终止合同；</w:t>
      </w:r>
    </w:p>
    <w:p w14:paraId="66F88E0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2.16.2合同继续履行将损害国家利益和社会公共利益的，双方当事人应当中止或者终止合同。有过错的一方应当承担赔偿责任，双方当事人都有过错的，各自承担相应的责任。</w:t>
      </w:r>
    </w:p>
    <w:p w14:paraId="296091FB">
      <w:pPr>
        <w:spacing w:line="360" w:lineRule="auto"/>
        <w:ind w:firstLine="437"/>
        <w:outlineLvl w:val="3"/>
        <w:rPr>
          <w:rFonts w:asciiTheme="minorEastAsia" w:hAnsiTheme="minorEastAsia" w:eastAsiaTheme="minorEastAsia"/>
          <w:b/>
          <w:bCs/>
          <w:color w:val="auto"/>
          <w:sz w:val="24"/>
          <w:highlight w:val="none"/>
          <w:lang w:val="zh-CN"/>
        </w:rPr>
      </w:pPr>
      <w:bookmarkStart w:id="205" w:name="_Toc6596"/>
      <w:bookmarkStart w:id="206" w:name="_Toc1125"/>
      <w:bookmarkStart w:id="207" w:name="_Toc14563"/>
      <w:r>
        <w:rPr>
          <w:rFonts w:hint="eastAsia" w:asciiTheme="minorEastAsia" w:hAnsiTheme="minorEastAsia" w:eastAsiaTheme="minorEastAsia"/>
          <w:b/>
          <w:bCs/>
          <w:color w:val="auto"/>
          <w:sz w:val="24"/>
          <w:highlight w:val="none"/>
          <w:lang w:val="zh-CN"/>
        </w:rPr>
        <w:t>2.17 检验和验收</w:t>
      </w:r>
      <w:bookmarkEnd w:id="205"/>
      <w:bookmarkEnd w:id="206"/>
      <w:bookmarkEnd w:id="207"/>
    </w:p>
    <w:p w14:paraId="02B87DB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1货物交付前，乙方应对货物的质量、数量等方面进行详细、全面的检验，并向甲方出具证明货物符合合同约定的文件；货物交付时，乙方在</w:t>
      </w:r>
      <w:r>
        <w:rPr>
          <w:rFonts w:hint="eastAsia"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约定时间内组织验收，并可依法邀请相关方参加，验收应出具验收书。</w:t>
      </w:r>
    </w:p>
    <w:p w14:paraId="2C2713D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5806204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2.17.3检验和验收标准、程序等具体内容以及前述验收书的效力详见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77"/>
    <w:bookmarkEnd w:id="178"/>
    <w:bookmarkEnd w:id="179"/>
    <w:bookmarkEnd w:id="180"/>
    <w:p w14:paraId="6FD8A597">
      <w:pPr>
        <w:spacing w:line="360" w:lineRule="auto"/>
        <w:ind w:firstLine="437"/>
        <w:outlineLvl w:val="3"/>
        <w:rPr>
          <w:rFonts w:asciiTheme="minorEastAsia" w:hAnsiTheme="minorEastAsia" w:eastAsiaTheme="minorEastAsia"/>
          <w:b/>
          <w:color w:val="auto"/>
          <w:sz w:val="24"/>
          <w:highlight w:val="none"/>
        </w:rPr>
      </w:pPr>
      <w:bookmarkStart w:id="208" w:name="_Toc30599"/>
      <w:bookmarkStart w:id="209" w:name="_Toc259093691"/>
      <w:bookmarkStart w:id="210" w:name="_Toc487900372"/>
      <w:bookmarkStart w:id="211" w:name="_Toc4355"/>
      <w:bookmarkStart w:id="212" w:name="_Toc18540"/>
      <w:bookmarkStart w:id="213" w:name="_Toc279701262"/>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208"/>
      <w:bookmarkEnd w:id="209"/>
      <w:bookmarkEnd w:id="210"/>
      <w:bookmarkEnd w:id="211"/>
      <w:bookmarkEnd w:id="212"/>
      <w:bookmarkEnd w:id="213"/>
    </w:p>
    <w:p w14:paraId="49EE4FEC">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合同的计量单位均使用国家法定计量单位。</w:t>
      </w:r>
    </w:p>
    <w:p w14:paraId="79E45849">
      <w:pPr>
        <w:spacing w:line="360" w:lineRule="auto"/>
        <w:ind w:firstLine="437"/>
        <w:outlineLvl w:val="3"/>
        <w:rPr>
          <w:rFonts w:asciiTheme="minorEastAsia" w:hAnsiTheme="minorEastAsia" w:eastAsiaTheme="minorEastAsia"/>
          <w:b/>
          <w:bCs/>
          <w:color w:val="auto"/>
          <w:sz w:val="24"/>
          <w:highlight w:val="none"/>
        </w:rPr>
      </w:pPr>
      <w:bookmarkStart w:id="214" w:name="_Toc279701263"/>
      <w:bookmarkStart w:id="215" w:name="_Toc259093692"/>
      <w:bookmarkStart w:id="216" w:name="_Toc10330"/>
      <w:bookmarkStart w:id="217" w:name="_Toc487900373"/>
      <w:bookmarkStart w:id="218" w:name="_Toc12773"/>
      <w:bookmarkStart w:id="219" w:name="_Toc18567"/>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19</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14"/>
      <w:bookmarkEnd w:id="215"/>
      <w:bookmarkEnd w:id="216"/>
      <w:bookmarkEnd w:id="217"/>
      <w:bookmarkEnd w:id="218"/>
      <w:bookmarkEnd w:id="219"/>
    </w:p>
    <w:p w14:paraId="52EF17A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19.1合同使用汉语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14:paraId="0464E98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19</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14:paraId="17BC5A4F">
      <w:pPr>
        <w:spacing w:line="360" w:lineRule="auto"/>
        <w:ind w:firstLine="437"/>
        <w:outlineLvl w:val="3"/>
        <w:rPr>
          <w:rFonts w:asciiTheme="minorEastAsia" w:hAnsiTheme="minorEastAsia" w:eastAsiaTheme="minorEastAsia"/>
          <w:b/>
          <w:color w:val="auto"/>
          <w:sz w:val="24"/>
          <w:highlight w:val="none"/>
        </w:rPr>
      </w:pPr>
      <w:bookmarkStart w:id="220" w:name="_Toc279701264"/>
      <w:bookmarkStart w:id="221" w:name="_Toc259093693"/>
      <w:bookmarkStart w:id="222" w:name="_Toc12004"/>
      <w:bookmarkStart w:id="223" w:name="_Toc16673"/>
      <w:bookmarkStart w:id="224" w:name="_Toc3148"/>
      <w:bookmarkStart w:id="225" w:name="_Toc487900374"/>
      <w:r>
        <w:rPr>
          <w:rFonts w:hint="eastAsia" w:asciiTheme="minorEastAsia" w:hAnsiTheme="minorEastAsia" w:eastAsiaTheme="minorEastAsia"/>
          <w:b/>
          <w:bCs/>
          <w:color w:val="auto"/>
          <w:sz w:val="24"/>
          <w:highlight w:val="none"/>
          <w:lang w:val="zh-CN"/>
        </w:rPr>
        <w:t>2.2</w:t>
      </w:r>
      <w:r>
        <w:rPr>
          <w:rFonts w:asciiTheme="minorEastAsia" w:hAnsiTheme="minorEastAsia" w:eastAsiaTheme="minorEastAsia"/>
          <w:b/>
          <w:bCs/>
          <w:color w:val="auto"/>
          <w:sz w:val="24"/>
          <w:highlight w:val="none"/>
          <w:lang w:val="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20"/>
      <w:bookmarkEnd w:id="221"/>
      <w:bookmarkEnd w:id="222"/>
      <w:bookmarkEnd w:id="223"/>
      <w:bookmarkEnd w:id="224"/>
    </w:p>
    <w:p w14:paraId="5EF7C5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14:paraId="7E67B69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14:paraId="172675E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25"/>
    <w:p w14:paraId="55C2B585">
      <w:pPr>
        <w:spacing w:line="360" w:lineRule="auto"/>
        <w:ind w:firstLine="437"/>
        <w:outlineLvl w:val="3"/>
        <w:rPr>
          <w:rFonts w:asciiTheme="minorEastAsia" w:hAnsiTheme="minorEastAsia" w:eastAsiaTheme="minorEastAsia"/>
          <w:b/>
          <w:color w:val="auto"/>
          <w:sz w:val="24"/>
          <w:highlight w:val="none"/>
        </w:rPr>
      </w:pPr>
      <w:bookmarkStart w:id="226" w:name="_Toc14001"/>
      <w:bookmarkStart w:id="227" w:name="_Toc6885"/>
      <w:bookmarkStart w:id="228" w:name="_Toc19890"/>
      <w:r>
        <w:rPr>
          <w:rFonts w:hint="eastAsia" w:asciiTheme="minorEastAsia" w:hAnsiTheme="minorEastAsia" w:eastAsiaTheme="minorEastAsia"/>
          <w:b/>
          <w:bCs/>
          <w:color w:val="auto"/>
          <w:sz w:val="24"/>
          <w:highlight w:val="none"/>
          <w:lang w:val="zh-CN"/>
        </w:rPr>
        <w:t>2.2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 合同份数</w:t>
      </w:r>
      <w:bookmarkEnd w:id="226"/>
      <w:bookmarkEnd w:id="227"/>
      <w:bookmarkEnd w:id="228"/>
    </w:p>
    <w:p w14:paraId="1B94ADD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14:paraId="6AD388B3">
      <w:pPr>
        <w:pStyle w:val="47"/>
        <w:rPr>
          <w:rFonts w:ascii="宋体" w:hAnsi="宋体" w:cs="宋体"/>
          <w:color w:val="auto"/>
          <w:szCs w:val="21"/>
          <w:highlight w:val="none"/>
        </w:rPr>
      </w:pPr>
      <w:r>
        <w:rPr>
          <w:rFonts w:asciiTheme="minorEastAsia" w:hAnsiTheme="minorEastAsia" w:eastAsiaTheme="minorEastAsia"/>
          <w:color w:val="auto"/>
          <w:sz w:val="24"/>
          <w:highlight w:val="none"/>
        </w:rPr>
        <w:br w:type="page"/>
      </w:r>
    </w:p>
    <w:p w14:paraId="3AEC431B">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229" w:name="_Toc8981"/>
      <w:bookmarkStart w:id="230" w:name="_Toc54941341"/>
      <w:bookmarkStart w:id="231" w:name="_Toc1812"/>
      <w:bookmarkStart w:id="232" w:name="_Toc439316880"/>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33" w:name="_Toc417656001"/>
      <w:r>
        <w:rPr>
          <w:rFonts w:hint="eastAsia" w:ascii="Arial" w:hAnsi="Arial"/>
          <w:color w:val="auto"/>
          <w:kern w:val="2"/>
          <w:sz w:val="36"/>
          <w:szCs w:val="36"/>
          <w:highlight w:val="none"/>
        </w:rPr>
        <w:t>响应文件格式</w:t>
      </w:r>
      <w:bookmarkEnd w:id="229"/>
      <w:bookmarkEnd w:id="230"/>
      <w:bookmarkEnd w:id="231"/>
      <w:bookmarkEnd w:id="232"/>
      <w:bookmarkEnd w:id="233"/>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47"/>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5060D741">
      <w:pPr>
        <w:rPr>
          <w:color w:val="auto"/>
          <w:highlight w:val="none"/>
        </w:rPr>
      </w:pPr>
    </w:p>
    <w:p w14:paraId="2BA191F7">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47"/>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供货及技术方案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47"/>
        <w:rPr>
          <w:rFonts w:ascii="宋体" w:hAnsi="宋体" w:cs="宋体"/>
          <w:color w:val="auto"/>
          <w:sz w:val="24"/>
          <w:highlight w:val="none"/>
        </w:rPr>
      </w:pPr>
    </w:p>
    <w:p w14:paraId="43A49AC0">
      <w:pPr>
        <w:pStyle w:val="47"/>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8"/>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34" w:name="_Hlk44287576"/>
      <w:r>
        <w:rPr>
          <w:rFonts w:hint="eastAsia" w:ascii="宋体" w:hAnsi="宋体" w:eastAsia="宋体"/>
          <w:color w:val="auto"/>
          <w:sz w:val="24"/>
          <w:highlight w:val="none"/>
        </w:rPr>
        <w:t>竞争性谈判公告</w:t>
      </w:r>
      <w:bookmarkEnd w:id="234"/>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47"/>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p w14:paraId="64500685">
      <w:pPr>
        <w:pStyle w:val="22"/>
        <w:tabs>
          <w:tab w:val="left" w:pos="5580"/>
        </w:tabs>
        <w:spacing w:line="480" w:lineRule="auto"/>
        <w:ind w:firstLine="3570" w:firstLineChars="1700"/>
        <w:rPr>
          <w:rFonts w:hint="eastAsia" w:hAnsi="宋体" w:cs="宋体"/>
          <w:color w:val="auto"/>
          <w:highlight w:val="none"/>
        </w:rPr>
      </w:pPr>
    </w:p>
    <w:p w14:paraId="3823B4DF">
      <w:pPr>
        <w:pStyle w:val="22"/>
        <w:tabs>
          <w:tab w:val="left" w:pos="5580"/>
        </w:tabs>
        <w:spacing w:line="480" w:lineRule="auto"/>
        <w:rPr>
          <w:rFonts w:hint="eastAsia" w:hAnsi="宋体" w:cs="宋体"/>
          <w:color w:val="auto"/>
          <w:highlight w:val="none"/>
        </w:rPr>
      </w:pPr>
    </w:p>
    <w:p w14:paraId="74BD03EA">
      <w:pPr>
        <w:pStyle w:val="22"/>
        <w:tabs>
          <w:tab w:val="left" w:pos="5580"/>
        </w:tabs>
        <w:spacing w:line="480" w:lineRule="auto"/>
        <w:rPr>
          <w:rFonts w:hint="eastAsia" w:hAnsi="宋体" w:cs="宋体"/>
          <w:color w:val="auto"/>
          <w:highlight w:val="none"/>
        </w:rPr>
      </w:pPr>
    </w:p>
    <w:p w14:paraId="791F8B48">
      <w:pPr>
        <w:pStyle w:val="8"/>
        <w:numPr>
          <w:ilvl w:val="0"/>
          <w:numId w:val="0"/>
        </w:numPr>
        <w:tabs>
          <w:tab w:val="left" w:pos="2730"/>
        </w:tabs>
        <w:jc w:val="center"/>
        <w:rPr>
          <w:rFonts w:cs="宋体"/>
          <w:color w:val="auto"/>
          <w:sz w:val="28"/>
          <w:szCs w:val="28"/>
          <w:highlight w:val="none"/>
        </w:rPr>
      </w:pPr>
      <w:bookmarkStart w:id="235" w:name="_Toc28034"/>
      <w:bookmarkStart w:id="236" w:name="_Toc476584434"/>
      <w:bookmarkStart w:id="237" w:name="_Toc54941343"/>
      <w:bookmarkStart w:id="238" w:name="_Toc28153"/>
      <w:bookmarkStart w:id="239" w:name="_Toc32647"/>
      <w:bookmarkStart w:id="240"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35"/>
      <w:bookmarkEnd w:id="236"/>
      <w:bookmarkEnd w:id="237"/>
    </w:p>
    <w:p w14:paraId="031F42A7">
      <w:pPr>
        <w:rPr>
          <w:rFonts w:hint="eastAsia" w:hAnsi="宋体" w:eastAsia="宋体" w:cs="宋体"/>
          <w:color w:val="auto"/>
          <w:kern w:val="2"/>
          <w:sz w:val="28"/>
          <w:szCs w:val="28"/>
          <w:highlight w:val="none"/>
          <w:lang w:val="en-US" w:eastAsia="zh-CN" w:bidi="ar-SA"/>
        </w:rPr>
      </w:pP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8"/>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241" w:name="OLE_LINK5"/>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bookmarkEnd w:id="241"/>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0D39F3B1">
      <w:pPr>
        <w:pStyle w:val="47"/>
        <w:rPr>
          <w:rFonts w:hint="eastAsia" w:hAnsi="宋体" w:cs="宋体"/>
          <w:color w:val="auto"/>
          <w:sz w:val="28"/>
          <w:szCs w:val="28"/>
          <w:highlight w:val="none"/>
          <w:lang w:val="en-US" w:eastAsia="zh-CN"/>
        </w:rPr>
      </w:pPr>
    </w:p>
    <w:p w14:paraId="30DE5C42">
      <w:pPr>
        <w:pStyle w:val="47"/>
        <w:rPr>
          <w:rFonts w:hint="eastAsia" w:hAnsi="宋体" w:cs="宋体"/>
          <w:color w:val="auto"/>
          <w:sz w:val="28"/>
          <w:szCs w:val="28"/>
          <w:highlight w:val="none"/>
          <w:lang w:val="en-US" w:eastAsia="zh-CN"/>
        </w:rPr>
      </w:pPr>
    </w:p>
    <w:p w14:paraId="145BEDF9">
      <w:pPr>
        <w:pStyle w:val="4"/>
        <w:ind w:firstLine="0"/>
        <w:rPr>
          <w:rFonts w:hint="eastAsia" w:hAnsi="宋体" w:cs="宋体"/>
          <w:color w:val="auto"/>
          <w:sz w:val="28"/>
          <w:szCs w:val="28"/>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p w14:paraId="646493F2">
      <w:pPr>
        <w:spacing w:line="360" w:lineRule="auto"/>
        <w:ind w:firstLine="6720" w:firstLineChars="3200"/>
      </w:pPr>
      <w:r>
        <w:rPr>
          <w:rFonts w:hint="eastAsia" w:ascii="宋体" w:hAnsi="宋体"/>
          <w:color w:val="auto"/>
          <w:highlight w:val="none"/>
        </w:rPr>
        <w:t>金额单位：人民币（元）</w:t>
      </w:r>
    </w:p>
    <w:tbl>
      <w:tblPr>
        <w:tblStyle w:val="39"/>
        <w:tblW w:w="487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2707"/>
        <w:gridCol w:w="1971"/>
        <w:gridCol w:w="1195"/>
        <w:gridCol w:w="1200"/>
        <w:gridCol w:w="1200"/>
      </w:tblGrid>
      <w:tr w14:paraId="2FC24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434" w:type="pct"/>
            <w:shd w:val="clear" w:color="auto" w:fill="auto"/>
            <w:noWrap/>
            <w:vAlign w:val="center"/>
          </w:tcPr>
          <w:p w14:paraId="3803E96F">
            <w:pPr>
              <w:widowControl/>
              <w:jc w:val="center"/>
              <w:rPr>
                <w:rFonts w:ascii="宋体" w:hAnsi="宋体" w:eastAsia="宋体" w:cs="宋体"/>
                <w:bCs/>
                <w:sz w:val="22"/>
                <w:szCs w:val="22"/>
              </w:rPr>
            </w:pPr>
            <w:r>
              <w:rPr>
                <w:rFonts w:hint="eastAsia" w:ascii="宋体" w:hAnsi="宋体" w:eastAsia="宋体" w:cs="宋体"/>
                <w:bCs/>
                <w:sz w:val="22"/>
                <w:szCs w:val="22"/>
              </w:rPr>
              <w:t>序号</w:t>
            </w:r>
          </w:p>
        </w:tc>
        <w:tc>
          <w:tcPr>
            <w:tcW w:w="1493" w:type="pct"/>
            <w:shd w:val="clear" w:color="auto" w:fill="auto"/>
            <w:noWrap/>
            <w:vAlign w:val="center"/>
          </w:tcPr>
          <w:p w14:paraId="33A6FA7F">
            <w:pPr>
              <w:widowControl/>
              <w:jc w:val="center"/>
              <w:rPr>
                <w:rFonts w:ascii="宋体" w:hAnsi="宋体" w:eastAsia="宋体" w:cs="宋体"/>
                <w:bCs/>
                <w:sz w:val="22"/>
                <w:szCs w:val="22"/>
              </w:rPr>
            </w:pPr>
            <w:r>
              <w:rPr>
                <w:rFonts w:hint="eastAsia" w:ascii="宋体" w:hAnsi="宋体" w:eastAsia="宋体" w:cs="宋体"/>
                <w:bCs/>
                <w:sz w:val="22"/>
                <w:szCs w:val="22"/>
              </w:rPr>
              <w:t>货物名称</w:t>
            </w:r>
          </w:p>
        </w:tc>
        <w:tc>
          <w:tcPr>
            <w:tcW w:w="1087" w:type="pct"/>
            <w:shd w:val="clear" w:color="auto" w:fill="auto"/>
            <w:noWrap/>
            <w:vAlign w:val="center"/>
          </w:tcPr>
          <w:p w14:paraId="06224DCC">
            <w:pPr>
              <w:widowControl/>
              <w:jc w:val="center"/>
              <w:rPr>
                <w:rFonts w:ascii="宋体" w:hAnsi="宋体" w:eastAsia="宋体" w:cs="宋体"/>
                <w:bCs/>
                <w:sz w:val="22"/>
                <w:szCs w:val="22"/>
              </w:rPr>
            </w:pPr>
            <w:r>
              <w:rPr>
                <w:rFonts w:hint="eastAsia" w:ascii="宋体" w:hAnsi="宋体" w:eastAsia="宋体" w:cs="宋体"/>
                <w:bCs/>
                <w:sz w:val="22"/>
                <w:szCs w:val="22"/>
              </w:rPr>
              <w:t>单位</w:t>
            </w:r>
          </w:p>
        </w:tc>
        <w:tc>
          <w:tcPr>
            <w:tcW w:w="659" w:type="pct"/>
            <w:shd w:val="clear" w:color="auto" w:fill="auto"/>
            <w:noWrap/>
            <w:vAlign w:val="center"/>
          </w:tcPr>
          <w:p w14:paraId="6314D91C">
            <w:pPr>
              <w:widowControl/>
              <w:jc w:val="center"/>
              <w:rPr>
                <w:rFonts w:ascii="宋体" w:hAnsi="宋体" w:eastAsia="宋体" w:cs="宋体"/>
                <w:bCs/>
                <w:sz w:val="22"/>
                <w:szCs w:val="22"/>
              </w:rPr>
            </w:pPr>
            <w:r>
              <w:rPr>
                <w:rFonts w:hint="eastAsia" w:ascii="宋体" w:hAnsi="宋体" w:eastAsia="宋体" w:cs="宋体"/>
                <w:bCs/>
                <w:sz w:val="22"/>
                <w:szCs w:val="22"/>
              </w:rPr>
              <w:t>数量</w:t>
            </w:r>
          </w:p>
        </w:tc>
        <w:tc>
          <w:tcPr>
            <w:tcW w:w="662" w:type="pct"/>
            <w:vAlign w:val="center"/>
          </w:tcPr>
          <w:p w14:paraId="5FDB41B9">
            <w:pPr>
              <w:widowControl/>
              <w:jc w:val="center"/>
              <w:rPr>
                <w:rFonts w:ascii="宋体" w:hAnsi="宋体" w:eastAsia="宋体" w:cs="宋体"/>
                <w:bCs/>
                <w:sz w:val="22"/>
                <w:szCs w:val="22"/>
              </w:rPr>
            </w:pPr>
            <w:r>
              <w:rPr>
                <w:rFonts w:hint="eastAsia" w:ascii="宋体" w:hAnsi="宋体" w:eastAsia="宋体" w:cs="宋体"/>
                <w:bCs/>
                <w:sz w:val="22"/>
                <w:szCs w:val="22"/>
                <w:lang w:val="en-US" w:eastAsia="zh-CN"/>
              </w:rPr>
              <w:t>单价</w:t>
            </w:r>
          </w:p>
        </w:tc>
        <w:tc>
          <w:tcPr>
            <w:tcW w:w="662" w:type="pct"/>
            <w:vAlign w:val="center"/>
          </w:tcPr>
          <w:p w14:paraId="4DFBC041">
            <w:pPr>
              <w:widowControl/>
              <w:jc w:val="center"/>
              <w:rPr>
                <w:rFonts w:hint="eastAsia" w:ascii="宋体" w:hAnsi="宋体" w:eastAsia="宋体" w:cs="宋体"/>
                <w:bCs/>
                <w:sz w:val="22"/>
                <w:szCs w:val="22"/>
                <w:lang w:val="en-US" w:eastAsia="zh-CN"/>
              </w:rPr>
            </w:pPr>
            <w:r>
              <w:rPr>
                <w:rFonts w:hint="eastAsia" w:ascii="宋体" w:hAnsi="宋体" w:eastAsia="宋体" w:cs="宋体"/>
                <w:bCs/>
                <w:sz w:val="22"/>
                <w:szCs w:val="22"/>
                <w:lang w:val="en-US" w:eastAsia="zh-CN"/>
              </w:rPr>
              <w:t>总价</w:t>
            </w:r>
          </w:p>
        </w:tc>
      </w:tr>
      <w:tr w14:paraId="2045D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512D2176">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1</w:t>
            </w:r>
          </w:p>
        </w:tc>
        <w:tc>
          <w:tcPr>
            <w:tcW w:w="1493" w:type="pct"/>
            <w:shd w:val="clear" w:color="auto" w:fill="auto"/>
            <w:vAlign w:val="center"/>
          </w:tcPr>
          <w:p w14:paraId="192F1171">
            <w:pPr>
              <w:widowControl/>
              <w:jc w:val="center"/>
              <w:rPr>
                <w:rFonts w:ascii="宋体" w:hAnsi="宋体" w:eastAsia="宋体"/>
                <w:sz w:val="22"/>
                <w:szCs w:val="22"/>
              </w:rPr>
            </w:pPr>
            <w:r>
              <w:rPr>
                <w:rFonts w:hint="eastAsia" w:ascii="宋体" w:hAnsi="宋体" w:eastAsia="宋体"/>
                <w:sz w:val="22"/>
                <w:szCs w:val="22"/>
              </w:rPr>
              <w:t>高级单杠</w:t>
            </w:r>
          </w:p>
        </w:tc>
        <w:tc>
          <w:tcPr>
            <w:tcW w:w="1087" w:type="pct"/>
            <w:shd w:val="clear" w:color="auto" w:fill="auto"/>
            <w:vAlign w:val="center"/>
          </w:tcPr>
          <w:p w14:paraId="7D8DAA69">
            <w:pPr>
              <w:widowControl/>
              <w:jc w:val="center"/>
              <w:rPr>
                <w:rFonts w:ascii="宋体" w:hAnsi="宋体" w:eastAsia="宋体"/>
                <w:sz w:val="22"/>
                <w:szCs w:val="22"/>
              </w:rPr>
            </w:pPr>
            <w:r>
              <w:rPr>
                <w:rFonts w:hint="eastAsia" w:ascii="宋体" w:hAnsi="宋体" w:eastAsia="宋体"/>
                <w:sz w:val="22"/>
                <w:szCs w:val="22"/>
              </w:rPr>
              <w:t>套</w:t>
            </w:r>
          </w:p>
        </w:tc>
        <w:tc>
          <w:tcPr>
            <w:tcW w:w="659" w:type="pct"/>
            <w:shd w:val="clear" w:color="auto" w:fill="auto"/>
            <w:vAlign w:val="center"/>
          </w:tcPr>
          <w:p w14:paraId="0A696D08">
            <w:pPr>
              <w:widowControl/>
              <w:jc w:val="center"/>
              <w:rPr>
                <w:rFonts w:ascii="宋体" w:hAnsi="宋体" w:eastAsia="宋体"/>
                <w:color w:val="000000"/>
                <w:sz w:val="22"/>
                <w:szCs w:val="22"/>
              </w:rPr>
            </w:pPr>
            <w:r>
              <w:rPr>
                <w:rFonts w:hint="eastAsia" w:ascii="宋体" w:hAnsi="宋体" w:eastAsia="宋体"/>
                <w:color w:val="000000"/>
                <w:sz w:val="22"/>
                <w:szCs w:val="22"/>
              </w:rPr>
              <w:t>1</w:t>
            </w:r>
          </w:p>
        </w:tc>
        <w:tc>
          <w:tcPr>
            <w:tcW w:w="662" w:type="pct"/>
            <w:vAlign w:val="center"/>
          </w:tcPr>
          <w:p w14:paraId="6B424AFF">
            <w:pPr>
              <w:widowControl/>
              <w:jc w:val="center"/>
              <w:rPr>
                <w:rFonts w:ascii="宋体" w:hAnsi="宋体" w:eastAsia="宋体"/>
                <w:sz w:val="22"/>
                <w:szCs w:val="22"/>
              </w:rPr>
            </w:pPr>
          </w:p>
        </w:tc>
        <w:tc>
          <w:tcPr>
            <w:tcW w:w="662" w:type="pct"/>
            <w:vAlign w:val="center"/>
          </w:tcPr>
          <w:p w14:paraId="49C2938B">
            <w:pPr>
              <w:widowControl/>
              <w:jc w:val="center"/>
              <w:rPr>
                <w:rFonts w:hint="eastAsia" w:ascii="宋体" w:hAnsi="宋体" w:eastAsia="宋体"/>
                <w:sz w:val="22"/>
                <w:szCs w:val="22"/>
              </w:rPr>
            </w:pPr>
          </w:p>
        </w:tc>
      </w:tr>
      <w:tr w14:paraId="00FF1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5B716093">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2</w:t>
            </w:r>
          </w:p>
        </w:tc>
        <w:tc>
          <w:tcPr>
            <w:tcW w:w="1493" w:type="pct"/>
            <w:shd w:val="clear" w:color="auto" w:fill="auto"/>
            <w:vAlign w:val="center"/>
          </w:tcPr>
          <w:p w14:paraId="71C38675">
            <w:pPr>
              <w:jc w:val="center"/>
              <w:rPr>
                <w:rFonts w:ascii="宋体" w:hAnsi="宋体" w:eastAsia="宋体"/>
                <w:sz w:val="22"/>
                <w:szCs w:val="22"/>
              </w:rPr>
            </w:pPr>
            <w:r>
              <w:rPr>
                <w:rFonts w:hint="eastAsia" w:ascii="宋体" w:hAnsi="宋体" w:eastAsia="宋体"/>
                <w:sz w:val="22"/>
                <w:szCs w:val="22"/>
              </w:rPr>
              <w:t xml:space="preserve">单杠保护垫     </w:t>
            </w:r>
          </w:p>
        </w:tc>
        <w:tc>
          <w:tcPr>
            <w:tcW w:w="1087" w:type="pct"/>
            <w:shd w:val="clear" w:color="auto" w:fill="auto"/>
            <w:vAlign w:val="center"/>
          </w:tcPr>
          <w:p w14:paraId="068623EF">
            <w:pPr>
              <w:jc w:val="center"/>
              <w:rPr>
                <w:rFonts w:ascii="宋体" w:hAnsi="宋体" w:eastAsia="宋体"/>
                <w:sz w:val="22"/>
                <w:szCs w:val="22"/>
              </w:rPr>
            </w:pPr>
            <w:r>
              <w:rPr>
                <w:rFonts w:hint="eastAsia" w:ascii="宋体" w:hAnsi="宋体" w:eastAsia="宋体"/>
                <w:sz w:val="22"/>
                <w:szCs w:val="22"/>
              </w:rPr>
              <w:t>套</w:t>
            </w:r>
          </w:p>
        </w:tc>
        <w:tc>
          <w:tcPr>
            <w:tcW w:w="659" w:type="pct"/>
            <w:shd w:val="clear" w:color="auto" w:fill="auto"/>
            <w:vAlign w:val="center"/>
          </w:tcPr>
          <w:p w14:paraId="5B4D0241">
            <w:pPr>
              <w:jc w:val="center"/>
              <w:rPr>
                <w:rFonts w:ascii="宋体" w:hAnsi="宋体" w:eastAsia="宋体"/>
                <w:color w:val="000000"/>
                <w:sz w:val="22"/>
                <w:szCs w:val="22"/>
              </w:rPr>
            </w:pPr>
            <w:r>
              <w:rPr>
                <w:rFonts w:hint="eastAsia" w:ascii="宋体" w:hAnsi="宋体" w:eastAsia="宋体"/>
                <w:color w:val="000000"/>
                <w:sz w:val="22"/>
                <w:szCs w:val="22"/>
              </w:rPr>
              <w:t>1</w:t>
            </w:r>
          </w:p>
        </w:tc>
        <w:tc>
          <w:tcPr>
            <w:tcW w:w="662" w:type="pct"/>
            <w:vAlign w:val="center"/>
          </w:tcPr>
          <w:p w14:paraId="757A1C3C">
            <w:pPr>
              <w:widowControl/>
              <w:jc w:val="center"/>
              <w:rPr>
                <w:rFonts w:ascii="宋体" w:hAnsi="宋体" w:eastAsia="宋体"/>
                <w:sz w:val="22"/>
                <w:szCs w:val="22"/>
              </w:rPr>
            </w:pPr>
          </w:p>
        </w:tc>
        <w:tc>
          <w:tcPr>
            <w:tcW w:w="662" w:type="pct"/>
            <w:vAlign w:val="center"/>
          </w:tcPr>
          <w:p w14:paraId="3CF8563E">
            <w:pPr>
              <w:widowControl/>
              <w:jc w:val="center"/>
              <w:rPr>
                <w:rFonts w:hint="eastAsia" w:ascii="宋体" w:hAnsi="宋体" w:eastAsia="宋体"/>
                <w:sz w:val="22"/>
                <w:szCs w:val="22"/>
              </w:rPr>
            </w:pPr>
          </w:p>
        </w:tc>
      </w:tr>
      <w:tr w14:paraId="63CF6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468FBF6B">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3</w:t>
            </w:r>
          </w:p>
        </w:tc>
        <w:tc>
          <w:tcPr>
            <w:tcW w:w="1493" w:type="pct"/>
            <w:shd w:val="clear" w:color="auto" w:fill="auto"/>
            <w:vAlign w:val="center"/>
          </w:tcPr>
          <w:p w14:paraId="2ABE5667">
            <w:pPr>
              <w:jc w:val="center"/>
              <w:rPr>
                <w:rFonts w:ascii="宋体" w:hAnsi="宋体" w:eastAsia="宋体"/>
                <w:sz w:val="22"/>
                <w:szCs w:val="22"/>
              </w:rPr>
            </w:pPr>
            <w:r>
              <w:rPr>
                <w:rFonts w:hint="eastAsia" w:ascii="宋体" w:hAnsi="宋体" w:eastAsia="宋体"/>
                <w:sz w:val="22"/>
                <w:szCs w:val="22"/>
              </w:rPr>
              <w:t>高级双杠</w:t>
            </w:r>
          </w:p>
        </w:tc>
        <w:tc>
          <w:tcPr>
            <w:tcW w:w="1087" w:type="pct"/>
            <w:shd w:val="clear" w:color="auto" w:fill="auto"/>
            <w:vAlign w:val="center"/>
          </w:tcPr>
          <w:p w14:paraId="557FD8B4">
            <w:pPr>
              <w:jc w:val="center"/>
              <w:rPr>
                <w:rFonts w:ascii="宋体" w:hAnsi="宋体" w:eastAsia="宋体"/>
                <w:sz w:val="22"/>
                <w:szCs w:val="22"/>
              </w:rPr>
            </w:pPr>
            <w:r>
              <w:rPr>
                <w:rFonts w:hint="eastAsia" w:ascii="宋体" w:hAnsi="宋体" w:eastAsia="宋体"/>
                <w:sz w:val="22"/>
                <w:szCs w:val="22"/>
              </w:rPr>
              <w:t>套</w:t>
            </w:r>
          </w:p>
        </w:tc>
        <w:tc>
          <w:tcPr>
            <w:tcW w:w="659" w:type="pct"/>
            <w:shd w:val="clear" w:color="auto" w:fill="auto"/>
            <w:vAlign w:val="center"/>
          </w:tcPr>
          <w:p w14:paraId="069DAA50">
            <w:pPr>
              <w:jc w:val="center"/>
              <w:rPr>
                <w:rFonts w:ascii="宋体" w:hAnsi="宋体" w:eastAsia="宋体"/>
                <w:color w:val="000000"/>
                <w:sz w:val="22"/>
                <w:szCs w:val="22"/>
              </w:rPr>
            </w:pPr>
            <w:r>
              <w:rPr>
                <w:rFonts w:hint="eastAsia" w:ascii="宋体" w:hAnsi="宋体" w:eastAsia="宋体"/>
                <w:color w:val="000000"/>
                <w:sz w:val="22"/>
                <w:szCs w:val="22"/>
              </w:rPr>
              <w:t>1</w:t>
            </w:r>
          </w:p>
        </w:tc>
        <w:tc>
          <w:tcPr>
            <w:tcW w:w="662" w:type="pct"/>
            <w:vAlign w:val="center"/>
          </w:tcPr>
          <w:p w14:paraId="41EC7610">
            <w:pPr>
              <w:widowControl/>
              <w:jc w:val="center"/>
              <w:rPr>
                <w:rFonts w:ascii="宋体" w:hAnsi="宋体" w:eastAsia="宋体"/>
                <w:sz w:val="22"/>
                <w:szCs w:val="22"/>
              </w:rPr>
            </w:pPr>
          </w:p>
        </w:tc>
        <w:tc>
          <w:tcPr>
            <w:tcW w:w="662" w:type="pct"/>
            <w:vAlign w:val="center"/>
          </w:tcPr>
          <w:p w14:paraId="18F43E8B">
            <w:pPr>
              <w:widowControl/>
              <w:jc w:val="center"/>
              <w:rPr>
                <w:rFonts w:hint="eastAsia" w:ascii="宋体" w:hAnsi="宋体" w:eastAsia="宋体"/>
                <w:sz w:val="22"/>
                <w:szCs w:val="22"/>
              </w:rPr>
            </w:pPr>
          </w:p>
        </w:tc>
      </w:tr>
      <w:tr w14:paraId="1BB5D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41914FCD">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4</w:t>
            </w:r>
          </w:p>
        </w:tc>
        <w:tc>
          <w:tcPr>
            <w:tcW w:w="1493" w:type="pct"/>
            <w:shd w:val="clear" w:color="auto" w:fill="auto"/>
            <w:vAlign w:val="center"/>
          </w:tcPr>
          <w:p w14:paraId="0339A480">
            <w:pPr>
              <w:jc w:val="center"/>
              <w:rPr>
                <w:rFonts w:ascii="宋体" w:hAnsi="宋体" w:eastAsia="宋体"/>
                <w:sz w:val="22"/>
                <w:szCs w:val="22"/>
              </w:rPr>
            </w:pPr>
            <w:r>
              <w:rPr>
                <w:rFonts w:hint="eastAsia" w:ascii="宋体" w:hAnsi="宋体" w:eastAsia="宋体"/>
                <w:sz w:val="22"/>
                <w:szCs w:val="22"/>
              </w:rPr>
              <w:t>双杠保护垫</w:t>
            </w:r>
          </w:p>
        </w:tc>
        <w:tc>
          <w:tcPr>
            <w:tcW w:w="1087" w:type="pct"/>
            <w:shd w:val="clear" w:color="auto" w:fill="auto"/>
            <w:vAlign w:val="center"/>
          </w:tcPr>
          <w:p w14:paraId="0E591307">
            <w:pPr>
              <w:jc w:val="center"/>
              <w:rPr>
                <w:rFonts w:ascii="宋体" w:hAnsi="宋体" w:eastAsia="宋体"/>
                <w:sz w:val="22"/>
                <w:szCs w:val="22"/>
              </w:rPr>
            </w:pPr>
            <w:r>
              <w:rPr>
                <w:rFonts w:hint="eastAsia" w:ascii="宋体" w:hAnsi="宋体" w:eastAsia="宋体"/>
                <w:sz w:val="22"/>
                <w:szCs w:val="22"/>
              </w:rPr>
              <w:t>套</w:t>
            </w:r>
          </w:p>
        </w:tc>
        <w:tc>
          <w:tcPr>
            <w:tcW w:w="659" w:type="pct"/>
            <w:shd w:val="clear" w:color="auto" w:fill="auto"/>
            <w:vAlign w:val="center"/>
          </w:tcPr>
          <w:p w14:paraId="0F2F9F96">
            <w:pPr>
              <w:jc w:val="center"/>
              <w:rPr>
                <w:rFonts w:ascii="宋体" w:hAnsi="宋体" w:eastAsia="宋体"/>
                <w:color w:val="000000"/>
                <w:sz w:val="22"/>
                <w:szCs w:val="22"/>
              </w:rPr>
            </w:pPr>
            <w:r>
              <w:rPr>
                <w:rFonts w:hint="eastAsia" w:ascii="宋体" w:hAnsi="宋体" w:eastAsia="宋体"/>
                <w:color w:val="000000"/>
                <w:sz w:val="22"/>
                <w:szCs w:val="22"/>
              </w:rPr>
              <w:t>1</w:t>
            </w:r>
          </w:p>
        </w:tc>
        <w:tc>
          <w:tcPr>
            <w:tcW w:w="662" w:type="pct"/>
            <w:vAlign w:val="center"/>
          </w:tcPr>
          <w:p w14:paraId="576F95E9">
            <w:pPr>
              <w:widowControl/>
              <w:jc w:val="center"/>
              <w:rPr>
                <w:rFonts w:ascii="宋体" w:hAnsi="宋体" w:eastAsia="宋体"/>
                <w:sz w:val="22"/>
                <w:szCs w:val="22"/>
              </w:rPr>
            </w:pPr>
          </w:p>
        </w:tc>
        <w:tc>
          <w:tcPr>
            <w:tcW w:w="662" w:type="pct"/>
            <w:vAlign w:val="center"/>
          </w:tcPr>
          <w:p w14:paraId="38C4355F">
            <w:pPr>
              <w:widowControl/>
              <w:jc w:val="center"/>
              <w:rPr>
                <w:rFonts w:hint="eastAsia" w:ascii="宋体" w:hAnsi="宋体" w:eastAsia="宋体"/>
                <w:sz w:val="22"/>
                <w:szCs w:val="22"/>
              </w:rPr>
            </w:pPr>
          </w:p>
        </w:tc>
      </w:tr>
      <w:tr w14:paraId="07A71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47924502">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5</w:t>
            </w:r>
          </w:p>
        </w:tc>
        <w:tc>
          <w:tcPr>
            <w:tcW w:w="1493" w:type="pct"/>
            <w:shd w:val="clear" w:color="auto" w:fill="auto"/>
            <w:vAlign w:val="center"/>
          </w:tcPr>
          <w:p w14:paraId="0BAB0F9C">
            <w:pPr>
              <w:jc w:val="center"/>
              <w:rPr>
                <w:rFonts w:ascii="宋体" w:hAnsi="宋体" w:eastAsia="宋体"/>
                <w:sz w:val="22"/>
                <w:szCs w:val="22"/>
              </w:rPr>
            </w:pPr>
            <w:r>
              <w:rPr>
                <w:rFonts w:hint="eastAsia" w:ascii="宋体" w:hAnsi="宋体" w:eastAsia="宋体"/>
                <w:sz w:val="22"/>
                <w:szCs w:val="22"/>
              </w:rPr>
              <w:t>S助跳板</w:t>
            </w:r>
          </w:p>
        </w:tc>
        <w:tc>
          <w:tcPr>
            <w:tcW w:w="1087" w:type="pct"/>
            <w:shd w:val="clear" w:color="auto" w:fill="auto"/>
            <w:vAlign w:val="center"/>
          </w:tcPr>
          <w:p w14:paraId="1F26D1AC">
            <w:pPr>
              <w:jc w:val="center"/>
              <w:rPr>
                <w:rFonts w:ascii="宋体" w:hAnsi="宋体" w:eastAsia="宋体"/>
                <w:sz w:val="22"/>
                <w:szCs w:val="22"/>
              </w:rPr>
            </w:pPr>
            <w:r>
              <w:rPr>
                <w:rFonts w:hint="eastAsia" w:ascii="宋体" w:hAnsi="宋体" w:eastAsia="宋体"/>
                <w:sz w:val="22"/>
                <w:szCs w:val="22"/>
              </w:rPr>
              <w:t>件</w:t>
            </w:r>
          </w:p>
        </w:tc>
        <w:tc>
          <w:tcPr>
            <w:tcW w:w="659" w:type="pct"/>
            <w:shd w:val="clear" w:color="auto" w:fill="auto"/>
            <w:vAlign w:val="center"/>
          </w:tcPr>
          <w:p w14:paraId="6A209CE8">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1CAA7A1B">
            <w:pPr>
              <w:widowControl/>
              <w:jc w:val="center"/>
              <w:rPr>
                <w:rFonts w:ascii="宋体" w:hAnsi="宋体" w:eastAsia="宋体"/>
                <w:sz w:val="22"/>
                <w:szCs w:val="22"/>
              </w:rPr>
            </w:pPr>
          </w:p>
        </w:tc>
        <w:tc>
          <w:tcPr>
            <w:tcW w:w="662" w:type="pct"/>
            <w:vAlign w:val="center"/>
          </w:tcPr>
          <w:p w14:paraId="09EDA57D">
            <w:pPr>
              <w:widowControl/>
              <w:jc w:val="center"/>
              <w:rPr>
                <w:rFonts w:hint="eastAsia" w:ascii="宋体" w:hAnsi="宋体" w:eastAsia="宋体"/>
                <w:sz w:val="22"/>
                <w:szCs w:val="22"/>
              </w:rPr>
            </w:pPr>
          </w:p>
        </w:tc>
      </w:tr>
      <w:tr w14:paraId="76911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3F927199">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6</w:t>
            </w:r>
          </w:p>
        </w:tc>
        <w:tc>
          <w:tcPr>
            <w:tcW w:w="1493" w:type="pct"/>
            <w:shd w:val="clear" w:color="auto" w:fill="auto"/>
            <w:vAlign w:val="center"/>
          </w:tcPr>
          <w:p w14:paraId="554F19D5">
            <w:pPr>
              <w:jc w:val="center"/>
              <w:rPr>
                <w:rFonts w:ascii="宋体" w:hAnsi="宋体" w:eastAsia="宋体"/>
                <w:sz w:val="22"/>
                <w:szCs w:val="22"/>
              </w:rPr>
            </w:pPr>
            <w:r>
              <w:rPr>
                <w:rFonts w:hint="eastAsia" w:ascii="宋体" w:hAnsi="宋体" w:eastAsia="宋体"/>
                <w:sz w:val="22"/>
                <w:szCs w:val="22"/>
              </w:rPr>
              <w:t>山羊</w:t>
            </w:r>
          </w:p>
        </w:tc>
        <w:tc>
          <w:tcPr>
            <w:tcW w:w="1087" w:type="pct"/>
            <w:shd w:val="clear" w:color="auto" w:fill="auto"/>
            <w:vAlign w:val="center"/>
          </w:tcPr>
          <w:p w14:paraId="44B7D816">
            <w:pPr>
              <w:jc w:val="center"/>
              <w:rPr>
                <w:rFonts w:ascii="宋体" w:hAnsi="宋体" w:eastAsia="宋体"/>
                <w:sz w:val="22"/>
                <w:szCs w:val="22"/>
              </w:rPr>
            </w:pPr>
            <w:r>
              <w:rPr>
                <w:rFonts w:hint="eastAsia" w:ascii="宋体" w:hAnsi="宋体" w:eastAsia="宋体"/>
                <w:sz w:val="22"/>
                <w:szCs w:val="22"/>
              </w:rPr>
              <w:t>只</w:t>
            </w:r>
          </w:p>
        </w:tc>
        <w:tc>
          <w:tcPr>
            <w:tcW w:w="659" w:type="pct"/>
            <w:shd w:val="clear" w:color="auto" w:fill="auto"/>
            <w:vAlign w:val="center"/>
          </w:tcPr>
          <w:p w14:paraId="79157B0F">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53506C9A">
            <w:pPr>
              <w:widowControl/>
              <w:jc w:val="center"/>
              <w:rPr>
                <w:rFonts w:ascii="宋体" w:hAnsi="宋体" w:eastAsia="宋体"/>
                <w:sz w:val="22"/>
                <w:szCs w:val="22"/>
              </w:rPr>
            </w:pPr>
          </w:p>
        </w:tc>
        <w:tc>
          <w:tcPr>
            <w:tcW w:w="662" w:type="pct"/>
            <w:vAlign w:val="center"/>
          </w:tcPr>
          <w:p w14:paraId="52E2572C">
            <w:pPr>
              <w:widowControl/>
              <w:jc w:val="center"/>
              <w:rPr>
                <w:rFonts w:hint="eastAsia" w:ascii="宋体" w:hAnsi="宋体" w:eastAsia="宋体"/>
                <w:sz w:val="22"/>
                <w:szCs w:val="22"/>
              </w:rPr>
            </w:pPr>
          </w:p>
        </w:tc>
      </w:tr>
      <w:tr w14:paraId="6AA02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104CFA4F">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7</w:t>
            </w:r>
          </w:p>
        </w:tc>
        <w:tc>
          <w:tcPr>
            <w:tcW w:w="1493" w:type="pct"/>
            <w:shd w:val="clear" w:color="auto" w:fill="auto"/>
            <w:vAlign w:val="center"/>
          </w:tcPr>
          <w:p w14:paraId="77E8DA3E">
            <w:pPr>
              <w:jc w:val="center"/>
              <w:rPr>
                <w:rFonts w:ascii="宋体" w:hAnsi="宋体" w:eastAsia="宋体"/>
                <w:sz w:val="22"/>
                <w:szCs w:val="22"/>
              </w:rPr>
            </w:pPr>
            <w:r>
              <w:rPr>
                <w:rFonts w:hint="eastAsia" w:ascii="宋体" w:hAnsi="宋体" w:eastAsia="宋体"/>
                <w:sz w:val="22"/>
                <w:szCs w:val="22"/>
              </w:rPr>
              <w:t>双格肋木</w:t>
            </w:r>
          </w:p>
        </w:tc>
        <w:tc>
          <w:tcPr>
            <w:tcW w:w="1087" w:type="pct"/>
            <w:shd w:val="clear" w:color="auto" w:fill="auto"/>
            <w:vAlign w:val="center"/>
          </w:tcPr>
          <w:p w14:paraId="703AB1DB">
            <w:pPr>
              <w:jc w:val="center"/>
              <w:rPr>
                <w:rFonts w:ascii="宋体" w:hAnsi="宋体" w:eastAsia="宋体"/>
                <w:sz w:val="22"/>
                <w:szCs w:val="22"/>
              </w:rPr>
            </w:pPr>
            <w:r>
              <w:rPr>
                <w:rFonts w:hint="eastAsia" w:ascii="宋体" w:hAnsi="宋体" w:eastAsia="宋体"/>
                <w:sz w:val="22"/>
                <w:szCs w:val="22"/>
              </w:rPr>
              <w:t>付</w:t>
            </w:r>
          </w:p>
        </w:tc>
        <w:tc>
          <w:tcPr>
            <w:tcW w:w="659" w:type="pct"/>
            <w:shd w:val="clear" w:color="auto" w:fill="auto"/>
            <w:vAlign w:val="center"/>
          </w:tcPr>
          <w:p w14:paraId="3CFF769F">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4367D57E">
            <w:pPr>
              <w:widowControl/>
              <w:jc w:val="center"/>
              <w:rPr>
                <w:rFonts w:ascii="宋体" w:hAnsi="宋体" w:eastAsia="宋体"/>
                <w:sz w:val="22"/>
                <w:szCs w:val="22"/>
              </w:rPr>
            </w:pPr>
          </w:p>
        </w:tc>
        <w:tc>
          <w:tcPr>
            <w:tcW w:w="662" w:type="pct"/>
            <w:vAlign w:val="center"/>
          </w:tcPr>
          <w:p w14:paraId="3F67B99E">
            <w:pPr>
              <w:widowControl/>
              <w:jc w:val="center"/>
              <w:rPr>
                <w:rFonts w:hint="eastAsia" w:ascii="宋体" w:hAnsi="宋体" w:eastAsia="宋体"/>
                <w:sz w:val="22"/>
                <w:szCs w:val="22"/>
              </w:rPr>
            </w:pPr>
          </w:p>
        </w:tc>
      </w:tr>
      <w:tr w14:paraId="7DA47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31980958">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8</w:t>
            </w:r>
          </w:p>
        </w:tc>
        <w:tc>
          <w:tcPr>
            <w:tcW w:w="1493" w:type="pct"/>
            <w:shd w:val="clear" w:color="auto" w:fill="auto"/>
            <w:vAlign w:val="center"/>
          </w:tcPr>
          <w:p w14:paraId="2340F047">
            <w:pPr>
              <w:jc w:val="center"/>
              <w:rPr>
                <w:rFonts w:ascii="宋体" w:hAnsi="宋体" w:eastAsia="宋体"/>
                <w:sz w:val="22"/>
                <w:szCs w:val="22"/>
              </w:rPr>
            </w:pPr>
            <w:r>
              <w:rPr>
                <w:rFonts w:hint="eastAsia" w:ascii="宋体" w:hAnsi="宋体" w:eastAsia="宋体"/>
                <w:sz w:val="22"/>
                <w:szCs w:val="22"/>
              </w:rPr>
              <w:t>双杠倒立架</w:t>
            </w:r>
          </w:p>
        </w:tc>
        <w:tc>
          <w:tcPr>
            <w:tcW w:w="1087" w:type="pct"/>
            <w:shd w:val="clear" w:color="auto" w:fill="auto"/>
            <w:vAlign w:val="center"/>
          </w:tcPr>
          <w:p w14:paraId="411F8FD6">
            <w:pPr>
              <w:jc w:val="center"/>
              <w:rPr>
                <w:rFonts w:ascii="宋体" w:hAnsi="宋体" w:eastAsia="宋体"/>
                <w:sz w:val="22"/>
                <w:szCs w:val="22"/>
              </w:rPr>
            </w:pPr>
            <w:r>
              <w:rPr>
                <w:rFonts w:hint="eastAsia" w:ascii="宋体" w:hAnsi="宋体" w:eastAsia="宋体"/>
                <w:sz w:val="22"/>
                <w:szCs w:val="22"/>
              </w:rPr>
              <w:t>付</w:t>
            </w:r>
          </w:p>
        </w:tc>
        <w:tc>
          <w:tcPr>
            <w:tcW w:w="659" w:type="pct"/>
            <w:shd w:val="clear" w:color="auto" w:fill="auto"/>
            <w:vAlign w:val="center"/>
          </w:tcPr>
          <w:p w14:paraId="59AE1517">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6EAB8146">
            <w:pPr>
              <w:widowControl/>
              <w:jc w:val="center"/>
              <w:rPr>
                <w:rFonts w:ascii="宋体" w:hAnsi="宋体" w:eastAsia="宋体"/>
                <w:sz w:val="22"/>
                <w:szCs w:val="22"/>
              </w:rPr>
            </w:pPr>
          </w:p>
        </w:tc>
        <w:tc>
          <w:tcPr>
            <w:tcW w:w="662" w:type="pct"/>
            <w:vAlign w:val="center"/>
          </w:tcPr>
          <w:p w14:paraId="5D88B246">
            <w:pPr>
              <w:widowControl/>
              <w:jc w:val="center"/>
              <w:rPr>
                <w:rFonts w:hint="eastAsia" w:ascii="宋体" w:hAnsi="宋体" w:eastAsia="宋体"/>
                <w:sz w:val="22"/>
                <w:szCs w:val="22"/>
              </w:rPr>
            </w:pPr>
          </w:p>
        </w:tc>
      </w:tr>
      <w:tr w14:paraId="13D6B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48504CC6">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9</w:t>
            </w:r>
          </w:p>
        </w:tc>
        <w:tc>
          <w:tcPr>
            <w:tcW w:w="1493" w:type="pct"/>
            <w:shd w:val="clear" w:color="auto" w:fill="auto"/>
            <w:vAlign w:val="center"/>
          </w:tcPr>
          <w:p w14:paraId="219965A0">
            <w:pPr>
              <w:jc w:val="center"/>
              <w:rPr>
                <w:rFonts w:ascii="宋体" w:hAnsi="宋体" w:eastAsia="宋体"/>
                <w:sz w:val="22"/>
                <w:szCs w:val="22"/>
              </w:rPr>
            </w:pPr>
            <w:r>
              <w:rPr>
                <w:rFonts w:hint="eastAsia" w:ascii="宋体" w:hAnsi="宋体" w:eastAsia="宋体"/>
                <w:sz w:val="22"/>
                <w:szCs w:val="22"/>
              </w:rPr>
              <w:t>单杠倒立架</w:t>
            </w:r>
          </w:p>
        </w:tc>
        <w:tc>
          <w:tcPr>
            <w:tcW w:w="1087" w:type="pct"/>
            <w:shd w:val="clear" w:color="auto" w:fill="auto"/>
            <w:vAlign w:val="center"/>
          </w:tcPr>
          <w:p w14:paraId="6AECEA92">
            <w:pPr>
              <w:jc w:val="center"/>
              <w:rPr>
                <w:rFonts w:ascii="宋体" w:hAnsi="宋体" w:eastAsia="宋体"/>
                <w:sz w:val="22"/>
                <w:szCs w:val="22"/>
              </w:rPr>
            </w:pPr>
            <w:r>
              <w:rPr>
                <w:rFonts w:hint="eastAsia" w:ascii="宋体" w:hAnsi="宋体" w:eastAsia="宋体"/>
                <w:sz w:val="22"/>
                <w:szCs w:val="22"/>
              </w:rPr>
              <w:t>付</w:t>
            </w:r>
          </w:p>
        </w:tc>
        <w:tc>
          <w:tcPr>
            <w:tcW w:w="659" w:type="pct"/>
            <w:shd w:val="clear" w:color="auto" w:fill="auto"/>
            <w:vAlign w:val="center"/>
          </w:tcPr>
          <w:p w14:paraId="6996DEFE">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39EDCD55">
            <w:pPr>
              <w:widowControl/>
              <w:jc w:val="center"/>
              <w:rPr>
                <w:rFonts w:ascii="宋体" w:hAnsi="宋体" w:eastAsia="宋体"/>
                <w:sz w:val="22"/>
                <w:szCs w:val="22"/>
              </w:rPr>
            </w:pPr>
          </w:p>
        </w:tc>
        <w:tc>
          <w:tcPr>
            <w:tcW w:w="662" w:type="pct"/>
            <w:vAlign w:val="center"/>
          </w:tcPr>
          <w:p w14:paraId="310E1D40">
            <w:pPr>
              <w:widowControl/>
              <w:jc w:val="center"/>
              <w:rPr>
                <w:rFonts w:hint="eastAsia" w:ascii="宋体" w:hAnsi="宋体" w:eastAsia="宋体"/>
                <w:sz w:val="22"/>
                <w:szCs w:val="22"/>
              </w:rPr>
            </w:pPr>
          </w:p>
        </w:tc>
      </w:tr>
      <w:tr w14:paraId="73287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28415C2F">
            <w:pPr>
              <w:widowControl/>
              <w:jc w:val="center"/>
              <w:textAlignment w:val="center"/>
              <w:rPr>
                <w:rFonts w:ascii="宋体" w:hAnsi="宋体" w:eastAsia="宋体" w:cs="宋体"/>
                <w:bCs/>
                <w:sz w:val="22"/>
                <w:szCs w:val="22"/>
              </w:rPr>
            </w:pPr>
            <w:r>
              <w:rPr>
                <w:rFonts w:ascii="宋体" w:hAnsi="宋体" w:eastAsia="宋体" w:cs="宋体"/>
                <w:bCs/>
                <w:sz w:val="22"/>
                <w:szCs w:val="22"/>
              </w:rPr>
              <w:t>10</w:t>
            </w:r>
          </w:p>
        </w:tc>
        <w:tc>
          <w:tcPr>
            <w:tcW w:w="1493" w:type="pct"/>
            <w:shd w:val="clear" w:color="auto" w:fill="auto"/>
            <w:vAlign w:val="center"/>
          </w:tcPr>
          <w:p w14:paraId="63BC3EC5">
            <w:pPr>
              <w:jc w:val="center"/>
              <w:rPr>
                <w:rFonts w:ascii="宋体" w:hAnsi="宋体" w:eastAsia="宋体"/>
                <w:sz w:val="22"/>
                <w:szCs w:val="22"/>
              </w:rPr>
            </w:pPr>
            <w:r>
              <w:rPr>
                <w:rFonts w:hint="eastAsia" w:ascii="宋体" w:hAnsi="宋体" w:eastAsia="宋体"/>
                <w:sz w:val="22"/>
                <w:szCs w:val="22"/>
              </w:rPr>
              <w:t>镁粉盒</w:t>
            </w:r>
          </w:p>
        </w:tc>
        <w:tc>
          <w:tcPr>
            <w:tcW w:w="1087" w:type="pct"/>
            <w:shd w:val="clear" w:color="auto" w:fill="auto"/>
            <w:vAlign w:val="center"/>
          </w:tcPr>
          <w:p w14:paraId="7543A8E9">
            <w:pPr>
              <w:jc w:val="center"/>
              <w:rPr>
                <w:rFonts w:ascii="宋体" w:hAnsi="宋体" w:eastAsia="宋体"/>
                <w:sz w:val="22"/>
                <w:szCs w:val="22"/>
              </w:rPr>
            </w:pPr>
            <w:r>
              <w:rPr>
                <w:rFonts w:hint="eastAsia" w:ascii="宋体" w:hAnsi="宋体" w:eastAsia="宋体"/>
                <w:sz w:val="22"/>
                <w:szCs w:val="22"/>
              </w:rPr>
              <w:t>个</w:t>
            </w:r>
          </w:p>
        </w:tc>
        <w:tc>
          <w:tcPr>
            <w:tcW w:w="659" w:type="pct"/>
            <w:shd w:val="clear" w:color="auto" w:fill="auto"/>
            <w:vAlign w:val="center"/>
          </w:tcPr>
          <w:p w14:paraId="4F132380">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679C9876">
            <w:pPr>
              <w:widowControl/>
              <w:jc w:val="center"/>
              <w:rPr>
                <w:rFonts w:ascii="宋体" w:hAnsi="宋体" w:eastAsia="宋体"/>
                <w:sz w:val="22"/>
                <w:szCs w:val="22"/>
              </w:rPr>
            </w:pPr>
          </w:p>
        </w:tc>
        <w:tc>
          <w:tcPr>
            <w:tcW w:w="662" w:type="pct"/>
            <w:vAlign w:val="center"/>
          </w:tcPr>
          <w:p w14:paraId="68287FB4">
            <w:pPr>
              <w:widowControl/>
              <w:jc w:val="center"/>
              <w:rPr>
                <w:rFonts w:hint="eastAsia" w:ascii="宋体" w:hAnsi="宋体" w:eastAsia="宋体"/>
                <w:sz w:val="22"/>
                <w:szCs w:val="22"/>
              </w:rPr>
            </w:pPr>
          </w:p>
        </w:tc>
      </w:tr>
      <w:tr w14:paraId="3C5C3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2BA3174C">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1</w:t>
            </w:r>
            <w:r>
              <w:rPr>
                <w:rFonts w:ascii="宋体" w:hAnsi="宋体" w:eastAsia="宋体" w:cs="宋体"/>
                <w:bCs/>
                <w:sz w:val="22"/>
                <w:szCs w:val="22"/>
              </w:rPr>
              <w:t>1</w:t>
            </w:r>
          </w:p>
        </w:tc>
        <w:tc>
          <w:tcPr>
            <w:tcW w:w="1493" w:type="pct"/>
            <w:shd w:val="clear" w:color="auto" w:fill="auto"/>
            <w:vAlign w:val="center"/>
          </w:tcPr>
          <w:p w14:paraId="0A378611">
            <w:pPr>
              <w:jc w:val="center"/>
              <w:rPr>
                <w:rFonts w:ascii="宋体" w:hAnsi="宋体" w:eastAsia="宋体"/>
                <w:sz w:val="22"/>
                <w:szCs w:val="22"/>
              </w:rPr>
            </w:pPr>
            <w:r>
              <w:rPr>
                <w:rFonts w:hint="eastAsia" w:ascii="宋体" w:hAnsi="宋体" w:eastAsia="宋体"/>
                <w:sz w:val="22"/>
                <w:szCs w:val="22"/>
              </w:rPr>
              <w:t>防滑镁粉块</w:t>
            </w:r>
          </w:p>
        </w:tc>
        <w:tc>
          <w:tcPr>
            <w:tcW w:w="1087" w:type="pct"/>
            <w:shd w:val="clear" w:color="auto" w:fill="auto"/>
            <w:vAlign w:val="center"/>
          </w:tcPr>
          <w:p w14:paraId="3C802A19">
            <w:pPr>
              <w:jc w:val="center"/>
              <w:rPr>
                <w:rFonts w:ascii="宋体" w:hAnsi="宋体" w:eastAsia="宋体"/>
                <w:sz w:val="22"/>
                <w:szCs w:val="22"/>
              </w:rPr>
            </w:pPr>
            <w:r>
              <w:rPr>
                <w:rFonts w:hint="eastAsia" w:ascii="宋体" w:hAnsi="宋体" w:eastAsia="宋体"/>
                <w:sz w:val="22"/>
                <w:szCs w:val="22"/>
              </w:rPr>
              <w:t>箱</w:t>
            </w:r>
          </w:p>
        </w:tc>
        <w:tc>
          <w:tcPr>
            <w:tcW w:w="659" w:type="pct"/>
            <w:shd w:val="clear" w:color="auto" w:fill="auto"/>
            <w:vAlign w:val="center"/>
          </w:tcPr>
          <w:p w14:paraId="435CB4F3">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7D0E5617">
            <w:pPr>
              <w:widowControl/>
              <w:jc w:val="center"/>
              <w:rPr>
                <w:rFonts w:ascii="宋体" w:hAnsi="宋体" w:eastAsia="宋体"/>
                <w:sz w:val="22"/>
                <w:szCs w:val="22"/>
              </w:rPr>
            </w:pPr>
          </w:p>
        </w:tc>
        <w:tc>
          <w:tcPr>
            <w:tcW w:w="662" w:type="pct"/>
            <w:vAlign w:val="center"/>
          </w:tcPr>
          <w:p w14:paraId="36344BD1">
            <w:pPr>
              <w:widowControl/>
              <w:jc w:val="center"/>
              <w:rPr>
                <w:rFonts w:hint="eastAsia" w:ascii="宋体" w:hAnsi="宋体" w:eastAsia="宋体"/>
                <w:sz w:val="22"/>
                <w:szCs w:val="22"/>
              </w:rPr>
            </w:pPr>
          </w:p>
        </w:tc>
      </w:tr>
      <w:tr w14:paraId="7D0CE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4309B40F">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1</w:t>
            </w:r>
            <w:r>
              <w:rPr>
                <w:rFonts w:ascii="宋体" w:hAnsi="宋体" w:eastAsia="宋体" w:cs="宋体"/>
                <w:bCs/>
                <w:sz w:val="22"/>
                <w:szCs w:val="22"/>
              </w:rPr>
              <w:t>2</w:t>
            </w:r>
          </w:p>
        </w:tc>
        <w:tc>
          <w:tcPr>
            <w:tcW w:w="1493" w:type="pct"/>
            <w:shd w:val="clear" w:color="auto" w:fill="auto"/>
            <w:vAlign w:val="center"/>
          </w:tcPr>
          <w:p w14:paraId="53CF72C7">
            <w:pPr>
              <w:jc w:val="center"/>
              <w:rPr>
                <w:rFonts w:ascii="宋体" w:hAnsi="宋体" w:eastAsia="宋体"/>
                <w:sz w:val="22"/>
                <w:szCs w:val="22"/>
              </w:rPr>
            </w:pPr>
            <w:r>
              <w:rPr>
                <w:rFonts w:hint="eastAsia" w:ascii="宋体" w:hAnsi="宋体" w:eastAsia="宋体"/>
                <w:sz w:val="22"/>
                <w:szCs w:val="22"/>
              </w:rPr>
              <w:t>万向预埋件</w:t>
            </w:r>
          </w:p>
        </w:tc>
        <w:tc>
          <w:tcPr>
            <w:tcW w:w="1087" w:type="pct"/>
            <w:shd w:val="clear" w:color="auto" w:fill="auto"/>
            <w:vAlign w:val="center"/>
          </w:tcPr>
          <w:p w14:paraId="1162AF41">
            <w:pPr>
              <w:jc w:val="center"/>
              <w:rPr>
                <w:rFonts w:ascii="宋体" w:hAnsi="宋体" w:eastAsia="宋体"/>
                <w:sz w:val="22"/>
                <w:szCs w:val="22"/>
              </w:rPr>
            </w:pPr>
            <w:r>
              <w:rPr>
                <w:rFonts w:hint="eastAsia" w:ascii="宋体" w:hAnsi="宋体" w:eastAsia="宋体"/>
                <w:sz w:val="22"/>
                <w:szCs w:val="22"/>
              </w:rPr>
              <w:t>件</w:t>
            </w:r>
          </w:p>
        </w:tc>
        <w:tc>
          <w:tcPr>
            <w:tcW w:w="659" w:type="pct"/>
            <w:shd w:val="clear" w:color="auto" w:fill="auto"/>
            <w:vAlign w:val="center"/>
          </w:tcPr>
          <w:p w14:paraId="6E231A12">
            <w:pPr>
              <w:jc w:val="center"/>
              <w:rPr>
                <w:rFonts w:ascii="宋体" w:hAnsi="宋体" w:eastAsia="宋体"/>
                <w:color w:val="000000"/>
                <w:sz w:val="22"/>
                <w:szCs w:val="22"/>
              </w:rPr>
            </w:pPr>
            <w:r>
              <w:rPr>
                <w:rFonts w:hint="eastAsia" w:ascii="宋体" w:hAnsi="宋体" w:eastAsia="宋体"/>
                <w:color w:val="000000"/>
                <w:sz w:val="22"/>
                <w:szCs w:val="22"/>
              </w:rPr>
              <w:t>10</w:t>
            </w:r>
          </w:p>
        </w:tc>
        <w:tc>
          <w:tcPr>
            <w:tcW w:w="662" w:type="pct"/>
            <w:vAlign w:val="center"/>
          </w:tcPr>
          <w:p w14:paraId="550F9A88">
            <w:pPr>
              <w:widowControl/>
              <w:jc w:val="center"/>
              <w:rPr>
                <w:rFonts w:ascii="宋体" w:hAnsi="宋体" w:eastAsia="宋体"/>
                <w:sz w:val="22"/>
                <w:szCs w:val="22"/>
              </w:rPr>
            </w:pPr>
          </w:p>
        </w:tc>
        <w:tc>
          <w:tcPr>
            <w:tcW w:w="662" w:type="pct"/>
            <w:vAlign w:val="center"/>
          </w:tcPr>
          <w:p w14:paraId="7FFA6929">
            <w:pPr>
              <w:widowControl/>
              <w:jc w:val="center"/>
              <w:rPr>
                <w:rFonts w:hint="eastAsia" w:ascii="宋体" w:hAnsi="宋体" w:eastAsia="宋体"/>
                <w:sz w:val="22"/>
                <w:szCs w:val="22"/>
              </w:rPr>
            </w:pPr>
          </w:p>
        </w:tc>
      </w:tr>
      <w:tr w14:paraId="1F95C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460F486D">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1</w:t>
            </w:r>
            <w:r>
              <w:rPr>
                <w:rFonts w:ascii="宋体" w:hAnsi="宋体" w:eastAsia="宋体" w:cs="宋体"/>
                <w:bCs/>
                <w:sz w:val="22"/>
                <w:szCs w:val="22"/>
              </w:rPr>
              <w:t>3</w:t>
            </w:r>
          </w:p>
        </w:tc>
        <w:tc>
          <w:tcPr>
            <w:tcW w:w="1493" w:type="pct"/>
            <w:shd w:val="clear" w:color="auto" w:fill="auto"/>
            <w:vAlign w:val="center"/>
          </w:tcPr>
          <w:p w14:paraId="6912571A">
            <w:pPr>
              <w:jc w:val="center"/>
              <w:rPr>
                <w:rFonts w:ascii="宋体" w:hAnsi="宋体" w:eastAsia="宋体"/>
                <w:sz w:val="22"/>
                <w:szCs w:val="22"/>
              </w:rPr>
            </w:pPr>
            <w:r>
              <w:rPr>
                <w:rFonts w:hint="eastAsia" w:ascii="宋体" w:hAnsi="宋体" w:eastAsia="宋体"/>
                <w:sz w:val="22"/>
                <w:szCs w:val="22"/>
              </w:rPr>
              <w:t>运动地板</w:t>
            </w:r>
          </w:p>
        </w:tc>
        <w:tc>
          <w:tcPr>
            <w:tcW w:w="1087" w:type="pct"/>
            <w:shd w:val="clear" w:color="auto" w:fill="auto"/>
            <w:vAlign w:val="center"/>
          </w:tcPr>
          <w:p w14:paraId="155F23A7">
            <w:pPr>
              <w:jc w:val="center"/>
              <w:rPr>
                <w:rFonts w:ascii="宋体" w:hAnsi="宋体" w:eastAsia="宋体"/>
                <w:sz w:val="22"/>
                <w:szCs w:val="22"/>
              </w:rPr>
            </w:pPr>
            <w:r>
              <w:rPr>
                <w:rFonts w:hint="eastAsia" w:ascii="宋体" w:hAnsi="宋体" w:eastAsia="宋体"/>
                <w:sz w:val="22"/>
                <w:szCs w:val="22"/>
              </w:rPr>
              <w:t>平方</w:t>
            </w:r>
          </w:p>
        </w:tc>
        <w:tc>
          <w:tcPr>
            <w:tcW w:w="659" w:type="pct"/>
            <w:shd w:val="clear" w:color="auto" w:fill="auto"/>
            <w:vAlign w:val="center"/>
          </w:tcPr>
          <w:p w14:paraId="69BE64A9">
            <w:pPr>
              <w:jc w:val="center"/>
              <w:rPr>
                <w:rFonts w:ascii="宋体" w:hAnsi="宋体" w:eastAsia="宋体"/>
                <w:color w:val="000000"/>
                <w:sz w:val="22"/>
                <w:szCs w:val="22"/>
              </w:rPr>
            </w:pPr>
            <w:r>
              <w:rPr>
                <w:rFonts w:hint="eastAsia" w:ascii="宋体" w:hAnsi="宋体" w:eastAsia="宋体"/>
                <w:color w:val="000000"/>
                <w:sz w:val="22"/>
                <w:szCs w:val="22"/>
              </w:rPr>
              <w:t>145</w:t>
            </w:r>
          </w:p>
        </w:tc>
        <w:tc>
          <w:tcPr>
            <w:tcW w:w="662" w:type="pct"/>
            <w:vAlign w:val="center"/>
          </w:tcPr>
          <w:p w14:paraId="1C28BB58">
            <w:pPr>
              <w:widowControl/>
              <w:jc w:val="center"/>
              <w:rPr>
                <w:rFonts w:ascii="宋体" w:hAnsi="宋体" w:eastAsia="宋体"/>
                <w:sz w:val="22"/>
                <w:szCs w:val="22"/>
              </w:rPr>
            </w:pPr>
          </w:p>
        </w:tc>
        <w:tc>
          <w:tcPr>
            <w:tcW w:w="662" w:type="pct"/>
            <w:vAlign w:val="center"/>
          </w:tcPr>
          <w:p w14:paraId="1624D1F7">
            <w:pPr>
              <w:widowControl/>
              <w:jc w:val="center"/>
              <w:rPr>
                <w:rFonts w:hint="eastAsia" w:ascii="宋体" w:hAnsi="宋体" w:eastAsia="宋体"/>
                <w:sz w:val="22"/>
                <w:szCs w:val="22"/>
              </w:rPr>
            </w:pPr>
          </w:p>
        </w:tc>
      </w:tr>
      <w:tr w14:paraId="5E0E4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7F009BA7">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1</w:t>
            </w:r>
            <w:r>
              <w:rPr>
                <w:rFonts w:ascii="宋体" w:hAnsi="宋体" w:eastAsia="宋体" w:cs="宋体"/>
                <w:bCs/>
                <w:sz w:val="22"/>
                <w:szCs w:val="22"/>
              </w:rPr>
              <w:t>4</w:t>
            </w:r>
          </w:p>
        </w:tc>
        <w:tc>
          <w:tcPr>
            <w:tcW w:w="1493" w:type="pct"/>
            <w:shd w:val="clear" w:color="auto" w:fill="auto"/>
            <w:vAlign w:val="center"/>
          </w:tcPr>
          <w:p w14:paraId="4D77F8F1">
            <w:pPr>
              <w:jc w:val="center"/>
              <w:rPr>
                <w:rFonts w:ascii="宋体" w:hAnsi="宋体" w:eastAsia="宋体"/>
                <w:sz w:val="22"/>
                <w:szCs w:val="22"/>
              </w:rPr>
            </w:pPr>
            <w:r>
              <w:rPr>
                <w:rFonts w:hint="eastAsia" w:ascii="宋体" w:hAnsi="宋体" w:eastAsia="宋体"/>
                <w:sz w:val="22"/>
                <w:szCs w:val="22"/>
              </w:rPr>
              <w:t>空气净化消毒仪</w:t>
            </w:r>
          </w:p>
        </w:tc>
        <w:tc>
          <w:tcPr>
            <w:tcW w:w="1087" w:type="pct"/>
            <w:shd w:val="clear" w:color="auto" w:fill="auto"/>
            <w:vAlign w:val="center"/>
          </w:tcPr>
          <w:p w14:paraId="1A54CE34">
            <w:pPr>
              <w:jc w:val="center"/>
              <w:rPr>
                <w:rFonts w:ascii="宋体" w:hAnsi="宋体" w:eastAsia="宋体"/>
                <w:sz w:val="22"/>
                <w:szCs w:val="22"/>
              </w:rPr>
            </w:pPr>
            <w:r>
              <w:rPr>
                <w:rFonts w:hint="eastAsia" w:ascii="宋体" w:hAnsi="宋体" w:eastAsia="宋体"/>
                <w:sz w:val="22"/>
                <w:szCs w:val="22"/>
              </w:rPr>
              <w:t>台</w:t>
            </w:r>
          </w:p>
        </w:tc>
        <w:tc>
          <w:tcPr>
            <w:tcW w:w="659" w:type="pct"/>
            <w:shd w:val="clear" w:color="auto" w:fill="auto"/>
            <w:vAlign w:val="center"/>
          </w:tcPr>
          <w:p w14:paraId="1E780E8B">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485ADB43">
            <w:pPr>
              <w:widowControl/>
              <w:jc w:val="center"/>
              <w:rPr>
                <w:rFonts w:ascii="宋体" w:hAnsi="宋体" w:eastAsia="宋体"/>
                <w:sz w:val="22"/>
                <w:szCs w:val="22"/>
              </w:rPr>
            </w:pPr>
          </w:p>
        </w:tc>
        <w:tc>
          <w:tcPr>
            <w:tcW w:w="662" w:type="pct"/>
            <w:vAlign w:val="center"/>
          </w:tcPr>
          <w:p w14:paraId="31083CFA">
            <w:pPr>
              <w:widowControl/>
              <w:jc w:val="center"/>
              <w:rPr>
                <w:rFonts w:hint="eastAsia" w:ascii="宋体" w:hAnsi="宋体" w:eastAsia="宋体"/>
                <w:sz w:val="22"/>
                <w:szCs w:val="22"/>
              </w:rPr>
            </w:pPr>
          </w:p>
        </w:tc>
      </w:tr>
      <w:tr w14:paraId="3F502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086A6229">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1</w:t>
            </w:r>
            <w:r>
              <w:rPr>
                <w:rFonts w:ascii="宋体" w:hAnsi="宋体" w:eastAsia="宋体" w:cs="宋体"/>
                <w:bCs/>
                <w:sz w:val="22"/>
                <w:szCs w:val="22"/>
              </w:rPr>
              <w:t>5</w:t>
            </w:r>
          </w:p>
        </w:tc>
        <w:tc>
          <w:tcPr>
            <w:tcW w:w="1493" w:type="pct"/>
            <w:shd w:val="clear" w:color="auto" w:fill="auto"/>
            <w:vAlign w:val="center"/>
          </w:tcPr>
          <w:p w14:paraId="14651170">
            <w:pPr>
              <w:rPr>
                <w:rFonts w:ascii="宋体" w:hAnsi="宋体" w:eastAsia="宋体"/>
                <w:sz w:val="22"/>
                <w:szCs w:val="22"/>
              </w:rPr>
            </w:pPr>
            <w:r>
              <w:rPr>
                <w:rFonts w:hint="eastAsia" w:ascii="宋体" w:hAnsi="宋体" w:eastAsia="宋体"/>
                <w:sz w:val="22"/>
                <w:szCs w:val="22"/>
              </w:rPr>
              <w:t>音乐北楼1</w:t>
            </w:r>
            <w:r>
              <w:rPr>
                <w:rFonts w:ascii="宋体" w:hAnsi="宋体" w:eastAsia="宋体"/>
                <w:sz w:val="22"/>
                <w:szCs w:val="22"/>
              </w:rPr>
              <w:t>04</w:t>
            </w:r>
            <w:r>
              <w:rPr>
                <w:rFonts w:hint="eastAsia" w:ascii="宋体" w:hAnsi="宋体" w:eastAsia="宋体"/>
                <w:sz w:val="22"/>
                <w:szCs w:val="22"/>
              </w:rPr>
              <w:t>、1</w:t>
            </w:r>
            <w:r>
              <w:rPr>
                <w:rFonts w:ascii="宋体" w:hAnsi="宋体" w:eastAsia="宋体"/>
                <w:sz w:val="22"/>
                <w:szCs w:val="22"/>
              </w:rPr>
              <w:t>05</w:t>
            </w:r>
            <w:r>
              <w:rPr>
                <w:rFonts w:hint="eastAsia" w:ascii="宋体" w:hAnsi="宋体" w:eastAsia="宋体"/>
                <w:sz w:val="22"/>
                <w:szCs w:val="22"/>
              </w:rPr>
              <w:t>改造</w:t>
            </w:r>
          </w:p>
          <w:p w14:paraId="5D11B4BB">
            <w:pPr>
              <w:jc w:val="center"/>
              <w:rPr>
                <w:rFonts w:ascii="宋体" w:hAnsi="宋体" w:eastAsia="宋体"/>
                <w:sz w:val="22"/>
                <w:szCs w:val="22"/>
              </w:rPr>
            </w:pPr>
            <w:r>
              <w:rPr>
                <w:rFonts w:hint="eastAsia" w:ascii="宋体" w:hAnsi="宋体" w:eastAsia="宋体"/>
                <w:sz w:val="22"/>
                <w:szCs w:val="22"/>
              </w:rPr>
              <w:t>（290平米）</w:t>
            </w:r>
          </w:p>
        </w:tc>
        <w:tc>
          <w:tcPr>
            <w:tcW w:w="1087" w:type="pct"/>
            <w:shd w:val="clear" w:color="auto" w:fill="auto"/>
            <w:vAlign w:val="center"/>
          </w:tcPr>
          <w:p w14:paraId="000D4E23">
            <w:pPr>
              <w:jc w:val="center"/>
              <w:rPr>
                <w:rFonts w:ascii="宋体" w:hAnsi="宋体" w:eastAsia="宋体"/>
                <w:sz w:val="22"/>
                <w:szCs w:val="22"/>
              </w:rPr>
            </w:pPr>
            <w:r>
              <w:rPr>
                <w:rFonts w:hint="eastAsia" w:ascii="宋体" w:hAnsi="宋体" w:eastAsia="宋体"/>
                <w:sz w:val="22"/>
                <w:szCs w:val="22"/>
              </w:rPr>
              <w:t>项</w:t>
            </w:r>
          </w:p>
        </w:tc>
        <w:tc>
          <w:tcPr>
            <w:tcW w:w="659" w:type="pct"/>
            <w:shd w:val="clear" w:color="auto" w:fill="auto"/>
            <w:vAlign w:val="center"/>
          </w:tcPr>
          <w:p w14:paraId="65DF25DF">
            <w:pPr>
              <w:jc w:val="center"/>
              <w:rPr>
                <w:rFonts w:ascii="宋体" w:hAnsi="宋体" w:eastAsia="宋体"/>
                <w:color w:val="000000"/>
                <w:sz w:val="22"/>
                <w:szCs w:val="22"/>
              </w:rPr>
            </w:pPr>
            <w:r>
              <w:rPr>
                <w:rFonts w:hint="eastAsia" w:ascii="宋体" w:hAnsi="宋体" w:eastAsia="宋体"/>
                <w:color w:val="000000"/>
                <w:sz w:val="22"/>
                <w:szCs w:val="22"/>
              </w:rPr>
              <w:t>1</w:t>
            </w:r>
          </w:p>
        </w:tc>
        <w:tc>
          <w:tcPr>
            <w:tcW w:w="662" w:type="pct"/>
            <w:vAlign w:val="center"/>
          </w:tcPr>
          <w:p w14:paraId="2B8B0B8B">
            <w:pPr>
              <w:widowControl/>
              <w:jc w:val="center"/>
              <w:rPr>
                <w:rFonts w:ascii="宋体" w:hAnsi="宋体" w:eastAsia="宋体"/>
                <w:sz w:val="22"/>
                <w:szCs w:val="22"/>
              </w:rPr>
            </w:pPr>
          </w:p>
        </w:tc>
        <w:tc>
          <w:tcPr>
            <w:tcW w:w="662" w:type="pct"/>
            <w:vAlign w:val="center"/>
          </w:tcPr>
          <w:p w14:paraId="0105A11A">
            <w:pPr>
              <w:widowControl/>
              <w:jc w:val="center"/>
              <w:rPr>
                <w:rFonts w:hint="eastAsia" w:ascii="宋体" w:hAnsi="宋体" w:eastAsia="宋体"/>
                <w:sz w:val="22"/>
                <w:szCs w:val="22"/>
                <w:lang w:val="en-US" w:eastAsia="zh-CN"/>
              </w:rPr>
            </w:pPr>
          </w:p>
        </w:tc>
      </w:tr>
      <w:tr w14:paraId="0DC24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37" w:type="pct"/>
            <w:gridSpan w:val="5"/>
            <w:shd w:val="clear" w:color="auto" w:fill="auto"/>
            <w:noWrap/>
            <w:vAlign w:val="center"/>
          </w:tcPr>
          <w:p w14:paraId="305870C2">
            <w:pPr>
              <w:widowControl/>
              <w:jc w:val="center"/>
              <w:textAlignment w:val="center"/>
              <w:rPr>
                <w:rFonts w:ascii="宋体" w:hAnsi="宋体" w:eastAsia="宋体" w:cs="宋体"/>
                <w:bCs/>
                <w:sz w:val="22"/>
                <w:szCs w:val="22"/>
              </w:rPr>
            </w:pPr>
            <w:r>
              <w:rPr>
                <w:rFonts w:hint="eastAsia" w:ascii="宋体" w:hAnsi="宋体" w:eastAsia="宋体" w:cs="宋体"/>
                <w:sz w:val="22"/>
                <w:szCs w:val="22"/>
              </w:rPr>
              <w:t>合计</w:t>
            </w:r>
          </w:p>
        </w:tc>
        <w:tc>
          <w:tcPr>
            <w:tcW w:w="662" w:type="pct"/>
            <w:shd w:val="clear" w:color="auto" w:fill="auto"/>
            <w:vAlign w:val="center"/>
          </w:tcPr>
          <w:p w14:paraId="40A1416E">
            <w:pPr>
              <w:widowControl/>
              <w:jc w:val="center"/>
              <w:textAlignment w:val="center"/>
              <w:rPr>
                <w:rFonts w:ascii="宋体" w:hAnsi="宋体" w:eastAsia="宋体" w:cs="宋体"/>
                <w:bCs/>
                <w:sz w:val="22"/>
                <w:szCs w:val="22"/>
                <w:lang w:bidi="ar"/>
              </w:rPr>
            </w:pPr>
          </w:p>
        </w:tc>
      </w:tr>
    </w:tbl>
    <w:p w14:paraId="7FFDD6E1">
      <w:pPr>
        <w:spacing w:line="360" w:lineRule="auto"/>
        <w:rPr>
          <w:rFonts w:ascii="宋体" w:cs="宋体"/>
          <w:color w:val="auto"/>
          <w:szCs w:val="21"/>
          <w:highlight w:val="none"/>
        </w:rPr>
      </w:pPr>
    </w:p>
    <w:p w14:paraId="5D52B7D0">
      <w:pPr>
        <w:spacing w:line="360" w:lineRule="auto"/>
        <w:rPr>
          <w:rFonts w:ascii="宋体" w:cs="宋体"/>
          <w:color w:val="auto"/>
          <w:szCs w:val="21"/>
          <w:highlight w:val="none"/>
        </w:rPr>
      </w:pPr>
    </w:p>
    <w:p w14:paraId="74E1AD5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4103EAB">
      <w:pPr>
        <w:spacing w:line="360" w:lineRule="auto"/>
        <w:ind w:firstLine="3600" w:firstLineChars="1500"/>
        <w:rPr>
          <w:rFonts w:hint="eastAsia" w:ascii="宋体" w:hAnsi="宋体" w:eastAsia="宋体"/>
          <w:color w:val="auto"/>
          <w:sz w:val="24"/>
          <w:highlight w:val="none"/>
        </w:rPr>
      </w:pPr>
    </w:p>
    <w:p w14:paraId="22646284">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5F60396">
      <w:pPr>
        <w:pStyle w:val="8"/>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p>
    <w:bookmarkEnd w:id="238"/>
    <w:bookmarkEnd w:id="239"/>
    <w:p w14:paraId="032A22B4">
      <w:pPr>
        <w:pStyle w:val="8"/>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bookmarkEnd w:id="240"/>
    <w:p w14:paraId="1CD7AC60">
      <w:pPr>
        <w:spacing w:line="360" w:lineRule="auto"/>
        <w:ind w:firstLine="210" w:firstLineChars="100"/>
        <w:rPr>
          <w:rFonts w:ascii="宋体" w:hAnsi="宋体"/>
          <w:color w:val="auto"/>
          <w:szCs w:val="21"/>
          <w:highlight w:val="none"/>
        </w:rPr>
      </w:pPr>
      <w:bookmarkStart w:id="242" w:name="_Toc54941345"/>
      <w:bookmarkStart w:id="243" w:name="_Toc15038"/>
      <w:bookmarkStart w:id="244" w:name="_Toc476584436"/>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75A84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03D157F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59A9453">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AC7C5D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78295A5D">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2D1FD4A6">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6397A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627D475">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75EC81EB">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00733848">
            <w:pPr>
              <w:jc w:val="center"/>
              <w:rPr>
                <w:rFonts w:asciiTheme="minorEastAsia" w:hAnsiTheme="minorEastAsia" w:eastAsiaTheme="minorEastAsia"/>
                <w:color w:val="auto"/>
                <w:sz w:val="24"/>
                <w:highlight w:val="none"/>
              </w:rPr>
            </w:pPr>
          </w:p>
        </w:tc>
        <w:tc>
          <w:tcPr>
            <w:tcW w:w="2347" w:type="dxa"/>
            <w:vAlign w:val="center"/>
          </w:tcPr>
          <w:p w14:paraId="3BB8FC13">
            <w:pPr>
              <w:jc w:val="center"/>
              <w:rPr>
                <w:rFonts w:asciiTheme="minorEastAsia" w:hAnsiTheme="minorEastAsia" w:eastAsiaTheme="minorEastAsia"/>
                <w:color w:val="auto"/>
                <w:sz w:val="24"/>
                <w:highlight w:val="none"/>
              </w:rPr>
            </w:pPr>
          </w:p>
        </w:tc>
        <w:tc>
          <w:tcPr>
            <w:tcW w:w="1235" w:type="dxa"/>
            <w:vAlign w:val="center"/>
          </w:tcPr>
          <w:p w14:paraId="09B71729">
            <w:pPr>
              <w:jc w:val="center"/>
              <w:rPr>
                <w:rFonts w:asciiTheme="minorEastAsia" w:hAnsiTheme="minorEastAsia" w:eastAsiaTheme="minorEastAsia"/>
                <w:color w:val="auto"/>
                <w:sz w:val="24"/>
                <w:highlight w:val="none"/>
              </w:rPr>
            </w:pPr>
          </w:p>
        </w:tc>
      </w:tr>
      <w:tr w14:paraId="0EF51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4D01422">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0C6728EE">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E5000BB">
            <w:pPr>
              <w:jc w:val="center"/>
              <w:rPr>
                <w:rFonts w:asciiTheme="minorEastAsia" w:hAnsiTheme="minorEastAsia" w:eastAsiaTheme="minorEastAsia"/>
                <w:color w:val="auto"/>
                <w:sz w:val="24"/>
                <w:highlight w:val="none"/>
              </w:rPr>
            </w:pPr>
          </w:p>
        </w:tc>
        <w:tc>
          <w:tcPr>
            <w:tcW w:w="2347" w:type="dxa"/>
            <w:vAlign w:val="center"/>
          </w:tcPr>
          <w:p w14:paraId="5D2C031B">
            <w:pPr>
              <w:jc w:val="center"/>
              <w:rPr>
                <w:rFonts w:asciiTheme="minorEastAsia" w:hAnsiTheme="minorEastAsia" w:eastAsiaTheme="minorEastAsia"/>
                <w:color w:val="auto"/>
                <w:sz w:val="24"/>
                <w:highlight w:val="none"/>
              </w:rPr>
            </w:pPr>
          </w:p>
        </w:tc>
        <w:tc>
          <w:tcPr>
            <w:tcW w:w="1235" w:type="dxa"/>
            <w:vAlign w:val="center"/>
          </w:tcPr>
          <w:p w14:paraId="73F7B7BA">
            <w:pPr>
              <w:jc w:val="center"/>
              <w:rPr>
                <w:rFonts w:asciiTheme="minorEastAsia" w:hAnsiTheme="minorEastAsia" w:eastAsiaTheme="minorEastAsia"/>
                <w:color w:val="auto"/>
                <w:sz w:val="24"/>
                <w:highlight w:val="none"/>
              </w:rPr>
            </w:pPr>
          </w:p>
        </w:tc>
      </w:tr>
      <w:tr w14:paraId="6EC7E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3EF938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14B3CAB5">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0CAE2A29">
            <w:pPr>
              <w:jc w:val="center"/>
              <w:rPr>
                <w:rFonts w:asciiTheme="minorEastAsia" w:hAnsiTheme="minorEastAsia" w:eastAsiaTheme="minorEastAsia"/>
                <w:color w:val="auto"/>
                <w:sz w:val="24"/>
                <w:highlight w:val="none"/>
              </w:rPr>
            </w:pPr>
          </w:p>
        </w:tc>
        <w:tc>
          <w:tcPr>
            <w:tcW w:w="2347" w:type="dxa"/>
            <w:vAlign w:val="center"/>
          </w:tcPr>
          <w:p w14:paraId="46BED33D">
            <w:pPr>
              <w:pStyle w:val="124"/>
              <w:jc w:val="center"/>
              <w:rPr>
                <w:rFonts w:asciiTheme="minorEastAsia" w:hAnsiTheme="minorEastAsia" w:eastAsiaTheme="minorEastAsia"/>
                <w:color w:val="auto"/>
                <w:highlight w:val="none"/>
              </w:rPr>
            </w:pPr>
          </w:p>
        </w:tc>
        <w:tc>
          <w:tcPr>
            <w:tcW w:w="1235" w:type="dxa"/>
            <w:vAlign w:val="center"/>
          </w:tcPr>
          <w:p w14:paraId="4042ACD7">
            <w:pPr>
              <w:jc w:val="center"/>
              <w:rPr>
                <w:rFonts w:asciiTheme="minorEastAsia" w:hAnsiTheme="minorEastAsia" w:eastAsiaTheme="minorEastAsia"/>
                <w:color w:val="auto"/>
                <w:sz w:val="24"/>
                <w:highlight w:val="none"/>
              </w:rPr>
            </w:pPr>
          </w:p>
        </w:tc>
      </w:tr>
      <w:tr w14:paraId="27983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6CEACD9">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068A28CB">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09A9942">
            <w:pPr>
              <w:jc w:val="center"/>
              <w:rPr>
                <w:rFonts w:asciiTheme="minorEastAsia" w:hAnsiTheme="minorEastAsia" w:eastAsiaTheme="minorEastAsia"/>
                <w:color w:val="auto"/>
                <w:sz w:val="24"/>
                <w:highlight w:val="none"/>
              </w:rPr>
            </w:pPr>
          </w:p>
        </w:tc>
        <w:tc>
          <w:tcPr>
            <w:tcW w:w="2347" w:type="dxa"/>
            <w:vAlign w:val="center"/>
          </w:tcPr>
          <w:p w14:paraId="333AAC30">
            <w:pPr>
              <w:pStyle w:val="124"/>
              <w:jc w:val="center"/>
              <w:rPr>
                <w:rFonts w:asciiTheme="minorEastAsia" w:hAnsiTheme="minorEastAsia" w:eastAsiaTheme="minorEastAsia"/>
                <w:color w:val="auto"/>
                <w:highlight w:val="none"/>
              </w:rPr>
            </w:pPr>
          </w:p>
        </w:tc>
        <w:tc>
          <w:tcPr>
            <w:tcW w:w="1235" w:type="dxa"/>
            <w:vAlign w:val="center"/>
          </w:tcPr>
          <w:p w14:paraId="35AE2295">
            <w:pPr>
              <w:jc w:val="center"/>
              <w:rPr>
                <w:rFonts w:asciiTheme="minorEastAsia" w:hAnsiTheme="minorEastAsia" w:eastAsiaTheme="minorEastAsia"/>
                <w:color w:val="auto"/>
                <w:sz w:val="24"/>
                <w:highlight w:val="none"/>
              </w:rPr>
            </w:pPr>
          </w:p>
        </w:tc>
      </w:tr>
      <w:tr w14:paraId="54E0C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A1D0B4A">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246CD276">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5B5FBC7B">
            <w:pPr>
              <w:jc w:val="center"/>
              <w:rPr>
                <w:rFonts w:asciiTheme="minorEastAsia" w:hAnsiTheme="minorEastAsia" w:eastAsiaTheme="minorEastAsia"/>
                <w:color w:val="auto"/>
                <w:sz w:val="24"/>
                <w:highlight w:val="none"/>
              </w:rPr>
            </w:pPr>
          </w:p>
        </w:tc>
        <w:tc>
          <w:tcPr>
            <w:tcW w:w="2347" w:type="dxa"/>
            <w:vAlign w:val="center"/>
          </w:tcPr>
          <w:p w14:paraId="76B06A39">
            <w:pPr>
              <w:pStyle w:val="124"/>
              <w:jc w:val="center"/>
              <w:rPr>
                <w:rFonts w:asciiTheme="minorEastAsia" w:hAnsiTheme="minorEastAsia" w:eastAsiaTheme="minorEastAsia"/>
                <w:color w:val="auto"/>
                <w:highlight w:val="none"/>
              </w:rPr>
            </w:pPr>
          </w:p>
        </w:tc>
        <w:tc>
          <w:tcPr>
            <w:tcW w:w="1235" w:type="dxa"/>
            <w:vAlign w:val="center"/>
          </w:tcPr>
          <w:p w14:paraId="3A1A79F2">
            <w:pPr>
              <w:jc w:val="center"/>
              <w:rPr>
                <w:rFonts w:asciiTheme="minorEastAsia" w:hAnsiTheme="minorEastAsia" w:eastAsiaTheme="minorEastAsia"/>
                <w:color w:val="auto"/>
                <w:sz w:val="24"/>
                <w:highlight w:val="none"/>
              </w:rPr>
            </w:pPr>
          </w:p>
        </w:tc>
      </w:tr>
    </w:tbl>
    <w:p w14:paraId="097C4115">
      <w:pPr>
        <w:spacing w:line="360" w:lineRule="auto"/>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39"/>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3EB18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5E161968">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1744AF">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27EE8359">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13E42959">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ED2AE7E">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141CA92D">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70898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259C3CC0">
            <w:pPr>
              <w:spacing w:line="360" w:lineRule="auto"/>
              <w:jc w:val="center"/>
              <w:rPr>
                <w:rFonts w:ascii="宋体" w:hAnsi="宋体"/>
                <w:color w:val="auto"/>
                <w:spacing w:val="-4"/>
                <w:szCs w:val="21"/>
                <w:highlight w:val="none"/>
              </w:rPr>
            </w:pPr>
          </w:p>
        </w:tc>
        <w:tc>
          <w:tcPr>
            <w:tcW w:w="1243" w:type="dxa"/>
            <w:vAlign w:val="center"/>
          </w:tcPr>
          <w:p w14:paraId="4330ECD9">
            <w:pPr>
              <w:spacing w:line="360" w:lineRule="auto"/>
              <w:jc w:val="center"/>
              <w:rPr>
                <w:rFonts w:ascii="宋体" w:hAnsi="宋体"/>
                <w:color w:val="auto"/>
                <w:szCs w:val="21"/>
                <w:highlight w:val="none"/>
              </w:rPr>
            </w:pPr>
          </w:p>
        </w:tc>
        <w:tc>
          <w:tcPr>
            <w:tcW w:w="1770" w:type="dxa"/>
          </w:tcPr>
          <w:p w14:paraId="0AB4EF9F">
            <w:pPr>
              <w:spacing w:line="360" w:lineRule="auto"/>
              <w:jc w:val="center"/>
              <w:rPr>
                <w:rFonts w:ascii="宋体" w:hAnsi="宋体"/>
                <w:b/>
                <w:color w:val="auto"/>
                <w:szCs w:val="21"/>
                <w:highlight w:val="none"/>
              </w:rPr>
            </w:pPr>
          </w:p>
        </w:tc>
        <w:tc>
          <w:tcPr>
            <w:tcW w:w="1843" w:type="dxa"/>
            <w:vAlign w:val="center"/>
          </w:tcPr>
          <w:p w14:paraId="43482109">
            <w:pPr>
              <w:spacing w:line="360" w:lineRule="auto"/>
              <w:jc w:val="center"/>
              <w:rPr>
                <w:rFonts w:ascii="宋体" w:hAnsi="宋体"/>
                <w:b/>
                <w:color w:val="auto"/>
                <w:szCs w:val="21"/>
                <w:highlight w:val="none"/>
              </w:rPr>
            </w:pPr>
          </w:p>
        </w:tc>
        <w:tc>
          <w:tcPr>
            <w:tcW w:w="1603" w:type="dxa"/>
            <w:vAlign w:val="center"/>
          </w:tcPr>
          <w:p w14:paraId="2CD2E8F2">
            <w:pPr>
              <w:spacing w:line="360" w:lineRule="auto"/>
              <w:jc w:val="center"/>
              <w:rPr>
                <w:rFonts w:ascii="宋体" w:hAnsi="宋体"/>
                <w:b/>
                <w:color w:val="auto"/>
                <w:szCs w:val="21"/>
                <w:highlight w:val="none"/>
              </w:rPr>
            </w:pPr>
          </w:p>
        </w:tc>
        <w:tc>
          <w:tcPr>
            <w:tcW w:w="1293" w:type="dxa"/>
            <w:vAlign w:val="center"/>
          </w:tcPr>
          <w:p w14:paraId="7E6D080D">
            <w:pPr>
              <w:spacing w:line="360" w:lineRule="auto"/>
              <w:jc w:val="center"/>
              <w:rPr>
                <w:rFonts w:ascii="宋体" w:hAnsi="宋体"/>
                <w:b/>
                <w:color w:val="auto"/>
                <w:szCs w:val="21"/>
                <w:highlight w:val="none"/>
              </w:rPr>
            </w:pPr>
          </w:p>
        </w:tc>
      </w:tr>
      <w:tr w14:paraId="6C317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97B0191">
            <w:pPr>
              <w:spacing w:line="360" w:lineRule="auto"/>
              <w:jc w:val="center"/>
              <w:rPr>
                <w:rFonts w:ascii="宋体" w:hAnsi="宋体"/>
                <w:color w:val="auto"/>
                <w:spacing w:val="-4"/>
                <w:szCs w:val="21"/>
                <w:highlight w:val="none"/>
              </w:rPr>
            </w:pPr>
          </w:p>
        </w:tc>
        <w:tc>
          <w:tcPr>
            <w:tcW w:w="1243" w:type="dxa"/>
            <w:vAlign w:val="center"/>
          </w:tcPr>
          <w:p w14:paraId="39908312">
            <w:pPr>
              <w:spacing w:line="360" w:lineRule="auto"/>
              <w:jc w:val="center"/>
              <w:rPr>
                <w:rFonts w:ascii="宋体" w:hAnsi="宋体"/>
                <w:color w:val="auto"/>
                <w:szCs w:val="21"/>
                <w:highlight w:val="none"/>
              </w:rPr>
            </w:pPr>
          </w:p>
        </w:tc>
        <w:tc>
          <w:tcPr>
            <w:tcW w:w="1770" w:type="dxa"/>
          </w:tcPr>
          <w:p w14:paraId="4BA1F4A4">
            <w:pPr>
              <w:spacing w:line="360" w:lineRule="auto"/>
              <w:jc w:val="center"/>
              <w:rPr>
                <w:rFonts w:ascii="宋体" w:hAnsi="宋体"/>
                <w:b/>
                <w:color w:val="auto"/>
                <w:szCs w:val="21"/>
                <w:highlight w:val="none"/>
              </w:rPr>
            </w:pPr>
          </w:p>
        </w:tc>
        <w:tc>
          <w:tcPr>
            <w:tcW w:w="1843" w:type="dxa"/>
            <w:vAlign w:val="center"/>
          </w:tcPr>
          <w:p w14:paraId="0A86BCE7">
            <w:pPr>
              <w:spacing w:line="360" w:lineRule="auto"/>
              <w:jc w:val="center"/>
              <w:rPr>
                <w:rFonts w:ascii="宋体" w:hAnsi="宋体"/>
                <w:b/>
                <w:color w:val="auto"/>
                <w:szCs w:val="21"/>
                <w:highlight w:val="none"/>
              </w:rPr>
            </w:pPr>
          </w:p>
        </w:tc>
        <w:tc>
          <w:tcPr>
            <w:tcW w:w="1603" w:type="dxa"/>
            <w:vAlign w:val="center"/>
          </w:tcPr>
          <w:p w14:paraId="6AC19FC8">
            <w:pPr>
              <w:spacing w:line="360" w:lineRule="auto"/>
              <w:jc w:val="center"/>
              <w:rPr>
                <w:rFonts w:ascii="宋体" w:hAnsi="宋体"/>
                <w:b/>
                <w:color w:val="auto"/>
                <w:szCs w:val="21"/>
                <w:highlight w:val="none"/>
              </w:rPr>
            </w:pPr>
          </w:p>
        </w:tc>
        <w:tc>
          <w:tcPr>
            <w:tcW w:w="1293" w:type="dxa"/>
            <w:vAlign w:val="center"/>
          </w:tcPr>
          <w:p w14:paraId="7C768F71">
            <w:pPr>
              <w:spacing w:line="360" w:lineRule="auto"/>
              <w:jc w:val="center"/>
              <w:rPr>
                <w:rFonts w:ascii="宋体" w:hAnsi="宋体"/>
                <w:b/>
                <w:color w:val="auto"/>
                <w:szCs w:val="21"/>
                <w:highlight w:val="none"/>
              </w:rPr>
            </w:pPr>
          </w:p>
        </w:tc>
      </w:tr>
      <w:tr w14:paraId="743A3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272A45DE">
            <w:pPr>
              <w:spacing w:line="360" w:lineRule="auto"/>
              <w:jc w:val="center"/>
              <w:rPr>
                <w:rFonts w:ascii="宋体" w:hAnsi="宋体"/>
                <w:color w:val="auto"/>
                <w:spacing w:val="-4"/>
                <w:szCs w:val="21"/>
                <w:highlight w:val="none"/>
              </w:rPr>
            </w:pPr>
          </w:p>
        </w:tc>
        <w:tc>
          <w:tcPr>
            <w:tcW w:w="1243" w:type="dxa"/>
            <w:vAlign w:val="center"/>
          </w:tcPr>
          <w:p w14:paraId="18F4CAF0">
            <w:pPr>
              <w:spacing w:line="360" w:lineRule="auto"/>
              <w:jc w:val="center"/>
              <w:rPr>
                <w:rFonts w:ascii="宋体" w:hAnsi="宋体"/>
                <w:color w:val="auto"/>
                <w:szCs w:val="21"/>
                <w:highlight w:val="none"/>
              </w:rPr>
            </w:pPr>
          </w:p>
        </w:tc>
        <w:tc>
          <w:tcPr>
            <w:tcW w:w="1770" w:type="dxa"/>
          </w:tcPr>
          <w:p w14:paraId="3D20A8D5">
            <w:pPr>
              <w:spacing w:line="360" w:lineRule="auto"/>
              <w:jc w:val="center"/>
              <w:rPr>
                <w:rFonts w:ascii="宋体" w:hAnsi="宋体"/>
                <w:b/>
                <w:color w:val="auto"/>
                <w:szCs w:val="21"/>
                <w:highlight w:val="none"/>
              </w:rPr>
            </w:pPr>
          </w:p>
        </w:tc>
        <w:tc>
          <w:tcPr>
            <w:tcW w:w="1843" w:type="dxa"/>
            <w:vAlign w:val="center"/>
          </w:tcPr>
          <w:p w14:paraId="4E2A824E">
            <w:pPr>
              <w:spacing w:line="360" w:lineRule="auto"/>
              <w:jc w:val="center"/>
              <w:rPr>
                <w:rFonts w:ascii="宋体" w:hAnsi="宋体"/>
                <w:b/>
                <w:color w:val="auto"/>
                <w:szCs w:val="21"/>
                <w:highlight w:val="none"/>
              </w:rPr>
            </w:pPr>
          </w:p>
        </w:tc>
        <w:tc>
          <w:tcPr>
            <w:tcW w:w="1603" w:type="dxa"/>
            <w:vAlign w:val="center"/>
          </w:tcPr>
          <w:p w14:paraId="3401CEA8">
            <w:pPr>
              <w:spacing w:line="360" w:lineRule="auto"/>
              <w:jc w:val="center"/>
              <w:rPr>
                <w:rFonts w:ascii="宋体" w:hAnsi="宋体"/>
                <w:b/>
                <w:color w:val="auto"/>
                <w:szCs w:val="21"/>
                <w:highlight w:val="none"/>
              </w:rPr>
            </w:pPr>
          </w:p>
        </w:tc>
        <w:tc>
          <w:tcPr>
            <w:tcW w:w="1293" w:type="dxa"/>
            <w:vAlign w:val="center"/>
          </w:tcPr>
          <w:p w14:paraId="2B2602C9">
            <w:pPr>
              <w:spacing w:line="360" w:lineRule="auto"/>
              <w:jc w:val="center"/>
              <w:rPr>
                <w:rFonts w:ascii="宋体" w:hAnsi="宋体"/>
                <w:b/>
                <w:color w:val="auto"/>
                <w:szCs w:val="21"/>
                <w:highlight w:val="none"/>
              </w:rPr>
            </w:pPr>
          </w:p>
        </w:tc>
      </w:tr>
      <w:tr w14:paraId="4DBEF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FA6FADE">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6029B120">
            <w:pPr>
              <w:spacing w:line="360" w:lineRule="auto"/>
              <w:jc w:val="center"/>
              <w:rPr>
                <w:rFonts w:ascii="宋体" w:hAnsi="宋体"/>
                <w:color w:val="auto"/>
                <w:szCs w:val="21"/>
                <w:highlight w:val="none"/>
              </w:rPr>
            </w:pPr>
          </w:p>
        </w:tc>
        <w:tc>
          <w:tcPr>
            <w:tcW w:w="1770" w:type="dxa"/>
          </w:tcPr>
          <w:p w14:paraId="1B989879">
            <w:pPr>
              <w:spacing w:line="360" w:lineRule="auto"/>
              <w:jc w:val="center"/>
              <w:rPr>
                <w:rFonts w:ascii="宋体" w:hAnsi="宋体"/>
                <w:b/>
                <w:color w:val="auto"/>
                <w:szCs w:val="21"/>
                <w:highlight w:val="none"/>
              </w:rPr>
            </w:pPr>
          </w:p>
        </w:tc>
        <w:tc>
          <w:tcPr>
            <w:tcW w:w="1843" w:type="dxa"/>
            <w:vAlign w:val="center"/>
          </w:tcPr>
          <w:p w14:paraId="14919077">
            <w:pPr>
              <w:spacing w:line="360" w:lineRule="auto"/>
              <w:jc w:val="center"/>
              <w:rPr>
                <w:rFonts w:ascii="宋体" w:hAnsi="宋体"/>
                <w:b/>
                <w:color w:val="auto"/>
                <w:szCs w:val="21"/>
                <w:highlight w:val="none"/>
              </w:rPr>
            </w:pPr>
          </w:p>
        </w:tc>
        <w:tc>
          <w:tcPr>
            <w:tcW w:w="1603" w:type="dxa"/>
            <w:vAlign w:val="center"/>
          </w:tcPr>
          <w:p w14:paraId="2CF55A14">
            <w:pPr>
              <w:spacing w:line="360" w:lineRule="auto"/>
              <w:jc w:val="center"/>
              <w:rPr>
                <w:rFonts w:ascii="宋体" w:hAnsi="宋体"/>
                <w:b/>
                <w:color w:val="auto"/>
                <w:szCs w:val="21"/>
                <w:highlight w:val="none"/>
              </w:rPr>
            </w:pPr>
          </w:p>
        </w:tc>
        <w:tc>
          <w:tcPr>
            <w:tcW w:w="1293" w:type="dxa"/>
            <w:vAlign w:val="center"/>
          </w:tcPr>
          <w:p w14:paraId="13CD509C">
            <w:pPr>
              <w:spacing w:line="360" w:lineRule="auto"/>
              <w:jc w:val="center"/>
              <w:rPr>
                <w:rFonts w:ascii="宋体" w:hAnsi="宋体"/>
                <w:b/>
                <w:color w:val="auto"/>
                <w:szCs w:val="21"/>
                <w:highlight w:val="none"/>
              </w:rPr>
            </w:pPr>
          </w:p>
        </w:tc>
      </w:tr>
    </w:tbl>
    <w:p w14:paraId="31C5D532">
      <w:pPr>
        <w:tabs>
          <w:tab w:val="left" w:pos="1815"/>
        </w:tabs>
        <w:spacing w:line="360" w:lineRule="auto"/>
        <w:rPr>
          <w:rFonts w:ascii="宋体" w:hAnsi="宋体" w:cs="Arial"/>
          <w:color w:val="auto"/>
          <w:sz w:val="21"/>
          <w:szCs w:val="21"/>
          <w:highlight w:val="none"/>
        </w:rPr>
      </w:pPr>
      <w:r>
        <w:rPr>
          <w:rFonts w:ascii="宋体" w:hAnsi="宋体" w:cs="Arial"/>
          <w:b/>
          <w:color w:val="auto"/>
          <w:szCs w:val="21"/>
          <w:highlight w:val="none"/>
        </w:rPr>
        <w:t>注：</w:t>
      </w:r>
      <w:r>
        <w:rPr>
          <w:rFonts w:ascii="宋体" w:hAnsi="宋体" w:cs="Arial"/>
          <w:color w:val="auto"/>
          <w:sz w:val="21"/>
          <w:szCs w:val="21"/>
          <w:highlight w:val="none"/>
        </w:rPr>
        <w:t>1、</w:t>
      </w:r>
      <w:r>
        <w:rPr>
          <w:rFonts w:hint="eastAsia" w:ascii="宋体" w:hAnsi="宋体" w:cs="Arial"/>
          <w:color w:val="auto"/>
          <w:sz w:val="21"/>
          <w:szCs w:val="21"/>
          <w:highlight w:val="none"/>
          <w:lang w:eastAsia="zh-CN"/>
        </w:rPr>
        <w:t>响应人</w:t>
      </w:r>
      <w:r>
        <w:rPr>
          <w:rFonts w:ascii="宋体" w:hAnsi="宋体" w:cs="Arial"/>
          <w:color w:val="auto"/>
          <w:sz w:val="21"/>
          <w:szCs w:val="21"/>
          <w:highlight w:val="none"/>
        </w:rPr>
        <w:t>必须将自己所投</w:t>
      </w:r>
      <w:r>
        <w:rPr>
          <w:rFonts w:hint="eastAsia" w:ascii="宋体" w:hAnsi="宋体" w:cs="Arial"/>
          <w:color w:val="auto"/>
          <w:sz w:val="21"/>
          <w:szCs w:val="21"/>
          <w:highlight w:val="none"/>
        </w:rPr>
        <w:t>货物</w:t>
      </w:r>
      <w:r>
        <w:rPr>
          <w:rFonts w:ascii="宋体" w:hAnsi="宋体" w:cs="Arial"/>
          <w:color w:val="auto"/>
          <w:sz w:val="21"/>
          <w:szCs w:val="21"/>
          <w:highlight w:val="none"/>
        </w:rPr>
        <w:t>真实、准确地填入</w:t>
      </w:r>
      <w:r>
        <w:rPr>
          <w:rFonts w:hint="eastAsia" w:ascii="宋体" w:hAnsi="宋体" w:cs="Arial"/>
          <w:color w:val="auto"/>
          <w:sz w:val="21"/>
          <w:szCs w:val="21"/>
          <w:highlight w:val="none"/>
        </w:rPr>
        <w:t>以上表格</w:t>
      </w:r>
      <w:r>
        <w:rPr>
          <w:rFonts w:ascii="宋体" w:hAnsi="宋体" w:cs="Arial"/>
          <w:color w:val="auto"/>
          <w:sz w:val="21"/>
          <w:szCs w:val="21"/>
          <w:highlight w:val="none"/>
        </w:rPr>
        <w:t>中</w:t>
      </w:r>
      <w:r>
        <w:rPr>
          <w:rFonts w:hint="eastAsia" w:ascii="宋体" w:hAnsi="宋体" w:cs="Arial"/>
          <w:color w:val="auto"/>
          <w:sz w:val="21"/>
          <w:szCs w:val="21"/>
          <w:highlight w:val="none"/>
        </w:rPr>
        <w:t>。</w:t>
      </w:r>
    </w:p>
    <w:p w14:paraId="7EAD3088">
      <w:pPr>
        <w:tabs>
          <w:tab w:val="left" w:pos="1815"/>
        </w:tabs>
        <w:spacing w:line="360" w:lineRule="auto"/>
        <w:ind w:left="1" w:firstLine="417" w:firstLineChars="199"/>
        <w:rPr>
          <w:rFonts w:ascii="宋体" w:hAnsi="宋体" w:cs="Arial"/>
          <w:color w:val="auto"/>
          <w:sz w:val="21"/>
          <w:szCs w:val="21"/>
          <w:highlight w:val="none"/>
        </w:rPr>
      </w:pPr>
      <w:r>
        <w:rPr>
          <w:rFonts w:ascii="宋体" w:hAnsi="宋体" w:cs="Arial"/>
          <w:color w:val="auto"/>
          <w:sz w:val="21"/>
          <w:szCs w:val="21"/>
          <w:highlight w:val="none"/>
        </w:rPr>
        <w:t>2、</w:t>
      </w:r>
      <w:r>
        <w:rPr>
          <w:rFonts w:hint="eastAsia" w:ascii="宋体" w:hAnsi="宋体" w:cs="Arial"/>
          <w:color w:val="auto"/>
          <w:sz w:val="21"/>
          <w:szCs w:val="21"/>
          <w:highlight w:val="none"/>
          <w:lang w:eastAsia="zh-CN"/>
        </w:rPr>
        <w:t>响应人</w:t>
      </w:r>
      <w:r>
        <w:rPr>
          <w:rFonts w:ascii="宋体" w:hAnsi="宋体" w:cs="Arial"/>
          <w:color w:val="auto"/>
          <w:sz w:val="21"/>
          <w:szCs w:val="21"/>
          <w:highlight w:val="none"/>
        </w:rPr>
        <w:t>必须根据自己所投</w:t>
      </w:r>
      <w:r>
        <w:rPr>
          <w:rFonts w:hint="eastAsia" w:ascii="宋体" w:hAnsi="宋体" w:cs="Arial"/>
          <w:color w:val="auto"/>
          <w:sz w:val="21"/>
          <w:szCs w:val="21"/>
          <w:highlight w:val="none"/>
        </w:rPr>
        <w:t>货物</w:t>
      </w:r>
      <w:r>
        <w:rPr>
          <w:rFonts w:ascii="宋体" w:hAnsi="宋体" w:cs="Arial"/>
          <w:color w:val="auto"/>
          <w:sz w:val="21"/>
          <w:szCs w:val="21"/>
          <w:highlight w:val="none"/>
        </w:rPr>
        <w:t>与“</w:t>
      </w:r>
      <w:r>
        <w:rPr>
          <w:rFonts w:hint="eastAsia" w:ascii="宋体" w:hAnsi="宋体"/>
          <w:color w:val="auto"/>
          <w:sz w:val="21"/>
          <w:szCs w:val="21"/>
          <w:highlight w:val="none"/>
        </w:rPr>
        <w:t>技术参数</w:t>
      </w:r>
      <w:r>
        <w:rPr>
          <w:rFonts w:hint="eastAsia" w:ascii="宋体" w:hAnsi="宋体"/>
          <w:color w:val="auto"/>
          <w:sz w:val="21"/>
          <w:szCs w:val="21"/>
          <w:highlight w:val="none"/>
          <w:lang w:val="en-US" w:eastAsia="zh-CN"/>
        </w:rPr>
        <w:t>要求</w:t>
      </w:r>
      <w:r>
        <w:rPr>
          <w:rFonts w:ascii="宋体" w:hAnsi="宋体" w:cs="Arial"/>
          <w:color w:val="auto"/>
          <w:sz w:val="21"/>
          <w:szCs w:val="21"/>
          <w:highlight w:val="none"/>
        </w:rPr>
        <w:t>”的差异情况，实事求是地填写“响应情况”（</w:t>
      </w:r>
      <w:r>
        <w:rPr>
          <w:rFonts w:ascii="宋体" w:hAnsi="宋体" w:cs="Arial"/>
          <w:b/>
          <w:color w:val="auto"/>
          <w:sz w:val="21"/>
          <w:szCs w:val="21"/>
          <w:highlight w:val="none"/>
        </w:rPr>
        <w:t>优于、满足、不满足</w:t>
      </w:r>
      <w:r>
        <w:rPr>
          <w:rFonts w:ascii="宋体" w:hAnsi="宋体" w:cs="Arial"/>
          <w:color w:val="auto"/>
          <w:sz w:val="21"/>
          <w:szCs w:val="21"/>
          <w:highlight w:val="none"/>
        </w:rPr>
        <w:t>）。</w:t>
      </w:r>
    </w:p>
    <w:p w14:paraId="7C49C552">
      <w:pPr>
        <w:pageBreakBefore w:val="0"/>
        <w:widowControl w:val="0"/>
        <w:tabs>
          <w:tab w:val="left" w:pos="1815"/>
        </w:tabs>
        <w:kinsoku/>
        <w:wordWrap/>
        <w:overflowPunct/>
        <w:topLinePunct w:val="0"/>
        <w:autoSpaceDE/>
        <w:autoSpaceDN/>
        <w:bidi w:val="0"/>
        <w:adjustRightInd w:val="0"/>
        <w:snapToGrid/>
        <w:spacing w:after="157" w:afterLines="50" w:line="240" w:lineRule="auto"/>
        <w:ind w:left="1" w:firstLine="417" w:firstLineChars="199"/>
        <w:textAlignment w:val="auto"/>
        <w:rPr>
          <w:rFonts w:hint="eastAsia" w:ascii="宋体" w:hAnsi="宋体"/>
          <w:b w:val="0"/>
          <w:bCs w:val="0"/>
          <w:color w:val="auto"/>
          <w:sz w:val="21"/>
          <w:szCs w:val="21"/>
          <w:highlight w:val="none"/>
        </w:rPr>
      </w:pPr>
      <w:bookmarkStart w:id="245" w:name="OLE_LINK6"/>
      <w:r>
        <w:rPr>
          <w:rFonts w:hint="eastAsia" w:ascii="宋体" w:hAnsi="宋体" w:cs="Arial"/>
          <w:b w:val="0"/>
          <w:bCs w:val="0"/>
          <w:color w:val="auto"/>
          <w:sz w:val="21"/>
          <w:szCs w:val="21"/>
          <w:highlight w:val="none"/>
        </w:rPr>
        <w:t>3、若</w:t>
      </w:r>
      <w:r>
        <w:rPr>
          <w:rFonts w:hint="eastAsia" w:ascii="宋体" w:hAnsi="宋体"/>
          <w:b w:val="0"/>
          <w:bCs w:val="0"/>
          <w:color w:val="auto"/>
          <w:sz w:val="21"/>
          <w:szCs w:val="21"/>
          <w:highlight w:val="none"/>
          <w:lang w:eastAsia="zh-CN"/>
        </w:rPr>
        <w:t>响应人</w:t>
      </w:r>
      <w:r>
        <w:rPr>
          <w:rFonts w:hint="eastAsia" w:ascii="宋体" w:hAnsi="宋体"/>
          <w:b w:val="0"/>
          <w:bCs w:val="0"/>
          <w:color w:val="auto"/>
          <w:sz w:val="21"/>
          <w:szCs w:val="21"/>
          <w:highlight w:val="none"/>
        </w:rPr>
        <w:t>所投货物为进口产品的，必须在表中明确列出所投进口产品的原产地。</w:t>
      </w:r>
    </w:p>
    <w:bookmarkEnd w:id="245"/>
    <w:p w14:paraId="78BEABF6">
      <w:pPr>
        <w:pStyle w:val="8"/>
        <w:keepNext/>
        <w:keepLines/>
        <w:pageBreakBefore w:val="0"/>
        <w:widowControl w:val="0"/>
        <w:tabs>
          <w:tab w:val="left" w:pos="2730"/>
        </w:tabs>
        <w:kinsoku/>
        <w:wordWrap/>
        <w:overflowPunct/>
        <w:topLinePunct w:val="0"/>
        <w:autoSpaceDE/>
        <w:autoSpaceDN/>
        <w:bidi w:val="0"/>
        <w:adjustRightInd w:val="0"/>
        <w:snapToGrid/>
        <w:spacing w:before="157" w:beforeLines="50" w:after="157" w:afterLines="50" w:line="240" w:lineRule="auto"/>
        <w:ind w:firstLine="420" w:firstLineChars="200"/>
        <w:textAlignment w:val="auto"/>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4、响应人应按照谈判文件要求提供证明材料。若响应人提供了谈判文件未要求的证明材料，谈判小组将不予评审。</w:t>
      </w:r>
    </w:p>
    <w:p w14:paraId="29DC2A6C">
      <w:pPr>
        <w:spacing w:line="360" w:lineRule="auto"/>
        <w:ind w:firstLine="3561" w:firstLineChars="1696"/>
        <w:rPr>
          <w:rFonts w:ascii="宋体" w:hAnsi="宋体"/>
          <w:color w:val="auto"/>
          <w:szCs w:val="21"/>
          <w:highlight w:val="none"/>
        </w:rPr>
      </w:pPr>
    </w:p>
    <w:p w14:paraId="626AFEA4">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8C1FA38">
      <w:pPr>
        <w:pStyle w:val="8"/>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8"/>
        <w:numPr>
          <w:ilvl w:val="0"/>
          <w:numId w:val="7"/>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242"/>
    </w:p>
    <w:p w14:paraId="63EF73C9">
      <w:pPr>
        <w:pStyle w:val="4"/>
        <w:rPr>
          <w:color w:val="auto"/>
          <w:highlight w:val="none"/>
        </w:rPr>
      </w:pPr>
    </w:p>
    <w:p w14:paraId="1E3692FD">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7FE56E14">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3F774C65">
      <w:pPr>
        <w:spacing w:line="360" w:lineRule="auto"/>
        <w:ind w:firstLine="6090" w:firstLineChars="2900"/>
        <w:rPr>
          <w:rFonts w:ascii="宋体"/>
          <w:color w:val="auto"/>
          <w:highlight w:val="none"/>
        </w:rPr>
      </w:pPr>
      <w:bookmarkStart w:id="246" w:name="OLE_LINK10"/>
      <w:r>
        <w:rPr>
          <w:rFonts w:hint="eastAsia" w:ascii="宋体" w:hAnsi="宋体"/>
          <w:color w:val="auto"/>
          <w:highlight w:val="none"/>
        </w:rPr>
        <w:t>金额单位：人民币（元）</w:t>
      </w:r>
    </w:p>
    <w:bookmarkEnd w:id="246"/>
    <w:tbl>
      <w:tblPr>
        <w:tblStyle w:val="39"/>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AE5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4483CC1">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310DB973">
            <w:pPr>
              <w:wordWrap w:val="0"/>
              <w:spacing w:line="400" w:lineRule="exact"/>
              <w:rPr>
                <w:rFonts w:hint="eastAsia" w:hAnsi="宋体"/>
                <w:color w:val="auto"/>
                <w:sz w:val="24"/>
                <w:highlight w:val="none"/>
              </w:rPr>
            </w:pPr>
          </w:p>
          <w:p w14:paraId="0DA5DAB6">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0A591B59">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3238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596F3D03">
            <w:pPr>
              <w:spacing w:line="400" w:lineRule="exact"/>
              <w:jc w:val="center"/>
              <w:rPr>
                <w:color w:val="auto"/>
                <w:sz w:val="24"/>
                <w:highlight w:val="none"/>
              </w:rPr>
            </w:pPr>
          </w:p>
        </w:tc>
        <w:tc>
          <w:tcPr>
            <w:tcW w:w="6743" w:type="dxa"/>
            <w:vAlign w:val="center"/>
          </w:tcPr>
          <w:p w14:paraId="4FDCB7EE">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99DB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119F5C61">
            <w:pPr>
              <w:spacing w:line="400" w:lineRule="exact"/>
              <w:rPr>
                <w:rFonts w:hAnsi="宋体"/>
                <w:color w:val="auto"/>
                <w:sz w:val="24"/>
                <w:highlight w:val="none"/>
              </w:rPr>
            </w:pPr>
            <w:r>
              <w:rPr>
                <w:rFonts w:hint="eastAsia" w:hAnsi="宋体"/>
                <w:color w:val="auto"/>
                <w:sz w:val="24"/>
                <w:highlight w:val="none"/>
              </w:rPr>
              <w:t>备注：</w:t>
            </w:r>
          </w:p>
          <w:p w14:paraId="132D9600">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1AF4CE5A">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74FA3020">
      <w:pPr>
        <w:spacing w:line="360" w:lineRule="auto"/>
        <w:rPr>
          <w:rFonts w:ascii="宋体"/>
          <w:b/>
          <w:color w:val="auto"/>
          <w:sz w:val="24"/>
          <w:highlight w:val="none"/>
        </w:rPr>
      </w:pPr>
    </w:p>
    <w:p w14:paraId="75FD752B">
      <w:pPr>
        <w:pStyle w:val="8"/>
        <w:tabs>
          <w:tab w:val="left" w:pos="2730"/>
        </w:tabs>
        <w:rPr>
          <w:color w:val="auto"/>
          <w:highlight w:val="none"/>
        </w:rPr>
      </w:pPr>
    </w:p>
    <w:p w14:paraId="2BEE1A50">
      <w:pPr>
        <w:pStyle w:val="8"/>
        <w:tabs>
          <w:tab w:val="left" w:pos="2730"/>
        </w:tabs>
        <w:rPr>
          <w:rFonts w:ascii="宋体"/>
          <w:color w:val="auto"/>
          <w:szCs w:val="21"/>
          <w:highlight w:val="none"/>
        </w:rPr>
      </w:pPr>
    </w:p>
    <w:p w14:paraId="17493196">
      <w:pPr>
        <w:rPr>
          <w:color w:val="auto"/>
          <w:highlight w:val="none"/>
        </w:rPr>
      </w:pPr>
    </w:p>
    <w:bookmarkEnd w:id="243"/>
    <w:bookmarkEnd w:id="244"/>
    <w:p w14:paraId="1A20E36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247" w:name="_Toc20013"/>
      <w:bookmarkStart w:id="248"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C758E63">
      <w:pPr>
        <w:spacing w:line="360" w:lineRule="auto"/>
        <w:ind w:firstLine="3600" w:firstLineChars="1500"/>
        <w:rPr>
          <w:rFonts w:hint="eastAsia" w:ascii="宋体" w:hAnsi="宋体" w:eastAsia="宋体"/>
          <w:color w:val="auto"/>
          <w:sz w:val="24"/>
          <w:highlight w:val="none"/>
        </w:rPr>
      </w:pPr>
    </w:p>
    <w:p w14:paraId="37B60BB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1B7A20">
      <w:pPr>
        <w:rPr>
          <w:rFonts w:hint="eastAsia" w:cs="宋体"/>
          <w:b/>
          <w:bCs/>
          <w:color w:val="auto"/>
          <w:sz w:val="28"/>
          <w:szCs w:val="28"/>
          <w:highlight w:val="none"/>
          <w:lang w:eastAsia="zh-CN"/>
        </w:rPr>
      </w:pPr>
    </w:p>
    <w:p w14:paraId="31B4122E">
      <w:pPr>
        <w:jc w:val="both"/>
        <w:rPr>
          <w:rFonts w:hint="eastAsia" w:cs="宋体"/>
          <w:b/>
          <w:bCs/>
          <w:color w:val="auto"/>
          <w:sz w:val="28"/>
          <w:szCs w:val="28"/>
          <w:highlight w:val="none"/>
          <w:lang w:eastAsia="zh-CN"/>
        </w:rPr>
      </w:pPr>
    </w:p>
    <w:p w14:paraId="5557B93A">
      <w:pPr>
        <w:jc w:val="both"/>
        <w:rPr>
          <w:rFonts w:hint="eastAsia" w:cs="宋体"/>
          <w:b/>
          <w:bCs/>
          <w:color w:val="auto"/>
          <w:sz w:val="28"/>
          <w:szCs w:val="28"/>
          <w:highlight w:val="none"/>
          <w:lang w:eastAsia="zh-CN"/>
        </w:rPr>
      </w:pPr>
    </w:p>
    <w:p w14:paraId="3AAA3B19">
      <w:pPr>
        <w:jc w:val="both"/>
        <w:rPr>
          <w:rFonts w:hint="eastAsia" w:cs="宋体"/>
          <w:b/>
          <w:bCs/>
          <w:color w:val="auto"/>
          <w:sz w:val="28"/>
          <w:szCs w:val="28"/>
          <w:highlight w:val="none"/>
          <w:lang w:eastAsia="zh-CN"/>
        </w:rPr>
      </w:pPr>
    </w:p>
    <w:p w14:paraId="296379B7">
      <w:pPr>
        <w:pStyle w:val="5"/>
        <w:rPr>
          <w:rFonts w:hint="eastAsia"/>
          <w:lang w:eastAsia="zh-CN"/>
        </w:rPr>
      </w:pPr>
    </w:p>
    <w:p w14:paraId="19F8434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47"/>
      <w:bookmarkEnd w:id="248"/>
      <w:r>
        <w:rPr>
          <w:rFonts w:hint="eastAsia" w:cs="宋体"/>
          <w:b/>
          <w:bCs/>
          <w:color w:val="auto"/>
          <w:sz w:val="28"/>
          <w:szCs w:val="28"/>
          <w:highlight w:val="none"/>
          <w:lang w:val="en-US" w:eastAsia="zh-CN"/>
        </w:rPr>
        <w:t>供货及技术方案</w:t>
      </w:r>
    </w:p>
    <w:p w14:paraId="7780F482">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249" w:name="_Toc25547"/>
      <w:bookmarkStart w:id="250"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49"/>
      <w:bookmarkEnd w:id="250"/>
    </w:p>
    <w:p w14:paraId="10116FDC">
      <w:pPr>
        <w:rPr>
          <w:rFonts w:ascii="仿宋" w:hAnsi="仿宋" w:eastAsia="仿宋" w:cs="仿宋"/>
          <w:b/>
          <w:bCs/>
          <w:color w:val="auto"/>
          <w:sz w:val="24"/>
          <w:highlight w:val="none"/>
        </w:rPr>
      </w:pPr>
    </w:p>
    <w:p w14:paraId="6ADDFA6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A95F2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1A50E97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5D56DF4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13B8265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03381C9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09E8B0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37FFB0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57C131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00DADC52">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7C5982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8890CE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68646211">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5E362D80">
      <w:pPr>
        <w:pStyle w:val="8"/>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251" w:name="_Toc7076"/>
      <w:r>
        <w:rPr>
          <w:rFonts w:hint="eastAsia" w:hAnsi="宋体"/>
          <w:color w:val="auto"/>
          <w:sz w:val="28"/>
          <w:szCs w:val="28"/>
          <w:highlight w:val="none"/>
          <w:lang w:val="en-US" w:eastAsia="zh-CN"/>
        </w:rPr>
        <w:br w:type="page"/>
      </w:r>
    </w:p>
    <w:bookmarkEnd w:id="251"/>
    <w:p w14:paraId="54C00F7B">
      <w:pPr>
        <w:pStyle w:val="8"/>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0877CBB6">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221F9125">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5585414">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05D948DA">
      <w:pPr>
        <w:spacing w:line="360" w:lineRule="auto"/>
        <w:ind w:firstLine="482" w:firstLineChars="200"/>
        <w:rPr>
          <w:b/>
          <w:color w:val="auto"/>
          <w:sz w:val="24"/>
          <w:szCs w:val="24"/>
          <w:highlight w:val="none"/>
        </w:rPr>
      </w:pPr>
      <w:r>
        <w:rPr>
          <w:b/>
          <w:color w:val="auto"/>
          <w:sz w:val="24"/>
          <w:szCs w:val="24"/>
          <w:highlight w:val="none"/>
        </w:rPr>
        <w:t>……</w:t>
      </w:r>
    </w:p>
    <w:p w14:paraId="55C6CA81">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4679AA99">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CDCAFE3">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5B3DB61E">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57395B9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77B6710">
      <w:pPr>
        <w:adjustRightInd w:val="0"/>
        <w:snapToGrid w:val="0"/>
        <w:spacing w:line="360" w:lineRule="auto"/>
        <w:rPr>
          <w:rFonts w:ascii="宋体" w:hAnsi="宋体"/>
          <w:color w:val="auto"/>
          <w:sz w:val="28"/>
          <w:szCs w:val="22"/>
          <w:highlight w:val="none"/>
        </w:rPr>
      </w:pPr>
    </w:p>
    <w:p w14:paraId="0D25BB1E">
      <w:pPr>
        <w:pStyle w:val="8"/>
        <w:shd w:val="clear" w:color="auto" w:fill="FFFFFF"/>
        <w:tabs>
          <w:tab w:val="left" w:pos="2730"/>
        </w:tabs>
        <w:jc w:val="center"/>
        <w:rPr>
          <w:rFonts w:hint="eastAsia"/>
          <w:color w:val="auto"/>
          <w:sz w:val="28"/>
          <w:szCs w:val="28"/>
          <w:highlight w:val="none"/>
          <w:lang w:val="en-US" w:eastAsia="zh-CN"/>
        </w:rPr>
      </w:pPr>
      <w:bookmarkStart w:id="252" w:name="_Toc9439"/>
      <w:r>
        <w:rPr>
          <w:rFonts w:hint="eastAsia"/>
          <w:color w:val="auto"/>
          <w:sz w:val="28"/>
          <w:szCs w:val="28"/>
          <w:highlight w:val="none"/>
          <w:lang w:val="en-US" w:eastAsia="zh-CN"/>
        </w:rPr>
        <w:t>八、残疾人福利性单位声明函</w:t>
      </w:r>
      <w:bookmarkEnd w:id="252"/>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F465B8E">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991D4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328F9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6851008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1385EB4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4003604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584CD6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9126C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65FFDC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48894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B0468C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2208579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0E1CBC1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0E2B9C6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0DF6BA0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27AE2C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8A08201">
      <w:pPr>
        <w:pStyle w:val="37"/>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59DE8B9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CB0A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1A551E">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73DBF0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2E70DF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053E03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60EE150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19DF01C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3A59DF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35E667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5838D4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3D51CA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1DF4276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45D839B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C8D9DE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6803114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22A62C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480B16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6376F05C">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7E32B30D">
      <w:pPr>
        <w:pStyle w:val="8"/>
        <w:shd w:val="clear" w:color="auto" w:fill="FFFFFF"/>
        <w:tabs>
          <w:tab w:val="left" w:pos="2730"/>
        </w:tabs>
        <w:jc w:val="both"/>
        <w:rPr>
          <w:rFonts w:hint="eastAsia"/>
          <w:color w:val="auto"/>
          <w:sz w:val="28"/>
          <w:szCs w:val="28"/>
          <w:highlight w:val="none"/>
          <w:lang w:val="en-US" w:eastAsia="zh-CN"/>
        </w:rPr>
        <w:sectPr>
          <w:footerReference r:id="rId10" w:type="default"/>
          <w:pgSz w:w="11906" w:h="16838"/>
          <w:pgMar w:top="1418" w:right="1418" w:bottom="1276" w:left="1418" w:header="680" w:footer="680" w:gutter="0"/>
          <w:pgNumType w:fmt="decimal"/>
          <w:cols w:space="720" w:num="1"/>
          <w:docGrid w:type="lines" w:linePitch="312" w:charSpace="0"/>
        </w:sectPr>
      </w:pPr>
      <w:bookmarkStart w:id="253" w:name="_Toc22272"/>
      <w:bookmarkStart w:id="254" w:name="_Toc26186"/>
    </w:p>
    <w:p w14:paraId="35B1ECF8">
      <w:pPr>
        <w:pStyle w:val="8"/>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53"/>
      <w:bookmarkEnd w:id="254"/>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8"/>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04573511">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23A7DBE0">
      <w:pPr>
        <w:pStyle w:val="2"/>
        <w:numPr>
          <w:ilvl w:val="0"/>
          <w:numId w:val="0"/>
        </w:numPr>
        <w:ind w:firstLine="320" w:firstLineChars="100"/>
        <w:jc w:val="center"/>
        <w:rPr>
          <w:color w:val="auto"/>
          <w:highlight w:val="none"/>
        </w:rPr>
      </w:pPr>
      <w:bookmarkStart w:id="255" w:name="_Toc12703"/>
      <w:bookmarkStart w:id="256" w:name="_Toc2700"/>
      <w:bookmarkStart w:id="257" w:name="_Toc8573"/>
      <w:bookmarkStart w:id="258" w:name="_Toc32741"/>
      <w:r>
        <w:rPr>
          <w:rFonts w:hint="eastAsia"/>
          <w:color w:val="auto"/>
          <w:highlight w:val="none"/>
          <w:lang w:val="en-US" w:eastAsia="zh-CN"/>
        </w:rPr>
        <w:t xml:space="preserve">第七章  </w:t>
      </w:r>
      <w:r>
        <w:rPr>
          <w:rFonts w:hint="eastAsia"/>
          <w:color w:val="auto"/>
          <w:highlight w:val="none"/>
        </w:rPr>
        <w:t>政府采购供应商质疑函范本</w:t>
      </w:r>
      <w:bookmarkEnd w:id="255"/>
      <w:bookmarkEnd w:id="256"/>
      <w:bookmarkEnd w:id="257"/>
      <w:bookmarkEnd w:id="258"/>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1"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B6D47">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CB944F">
                          <w:pPr>
                            <w:pStyle w:val="27"/>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6ACB944F">
                    <w:pPr>
                      <w:pStyle w:val="27"/>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7"/>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7"/>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7"/>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F39B171B"/>
    <w:multiLevelType w:val="singleLevel"/>
    <w:tmpl w:val="F39B171B"/>
    <w:lvl w:ilvl="0" w:tentative="0">
      <w:start w:val="1"/>
      <w:numFmt w:val="decimal"/>
      <w:suff w:val="nothing"/>
      <w:lvlText w:val="%1、"/>
      <w:lvlJc w:val="left"/>
    </w:lvl>
  </w:abstractNum>
  <w:abstractNum w:abstractNumId="3">
    <w:nsid w:val="00000018"/>
    <w:multiLevelType w:val="singleLevel"/>
    <w:tmpl w:val="00000018"/>
    <w:lvl w:ilvl="0" w:tentative="0">
      <w:start w:val="4"/>
      <w:numFmt w:val="chineseCounting"/>
      <w:suff w:val="nothing"/>
      <w:lvlText w:val="%1、"/>
      <w:lvlJc w:val="left"/>
      <w:rPr>
        <w:rFonts w:cs="Times New Roman"/>
      </w:rPr>
    </w:lvl>
  </w:abstractNum>
  <w:abstractNum w:abstractNumId="4">
    <w:nsid w:val="40D1395F"/>
    <w:multiLevelType w:val="singleLevel"/>
    <w:tmpl w:val="40D1395F"/>
    <w:lvl w:ilvl="0" w:tentative="0">
      <w:start w:val="2"/>
      <w:numFmt w:val="decimal"/>
      <w:suff w:val="nothing"/>
      <w:lvlText w:val="%1、"/>
      <w:lvlJc w:val="left"/>
    </w:lvl>
  </w:abstractNum>
  <w:abstractNum w:abstractNumId="5">
    <w:nsid w:val="7AAB2737"/>
    <w:multiLevelType w:val="singleLevel"/>
    <w:tmpl w:val="7AAB2737"/>
    <w:lvl w:ilvl="0" w:tentative="0">
      <w:start w:val="2"/>
      <w:numFmt w:val="chineseCounting"/>
      <w:suff w:val="nothing"/>
      <w:lvlText w:val="%1、"/>
      <w:lvlJc w:val="left"/>
      <w:rPr>
        <w:rFonts w:hint="eastAsia"/>
      </w:rPr>
    </w:lvl>
  </w:abstractNum>
  <w:abstractNum w:abstractNumId="6">
    <w:nsid w:val="7F8EED0D"/>
    <w:multiLevelType w:val="singleLevel"/>
    <w:tmpl w:val="7F8EED0D"/>
    <w:lvl w:ilvl="0" w:tentative="0">
      <w:start w:val="37"/>
      <w:numFmt w:val="decimal"/>
      <w:suff w:val="nothing"/>
      <w:lvlText w:val="%1、"/>
      <w:lvlJc w:val="left"/>
    </w:lvl>
  </w:abstractNum>
  <w:num w:numId="1">
    <w:abstractNumId w:val="1"/>
  </w:num>
  <w:num w:numId="2">
    <w:abstractNumId w:val="2"/>
  </w:num>
  <w:num w:numId="3">
    <w:abstractNumId w:val="6"/>
  </w:num>
  <w:num w:numId="4">
    <w:abstractNumId w:val="0"/>
  </w:num>
  <w:num w:numId="5">
    <w:abstractNumId w:val="5"/>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2F07B9F"/>
    <w:rsid w:val="07C80EFB"/>
    <w:rsid w:val="10E24D87"/>
    <w:rsid w:val="119A1F8D"/>
    <w:rsid w:val="13750D6C"/>
    <w:rsid w:val="13C347B9"/>
    <w:rsid w:val="14E135CF"/>
    <w:rsid w:val="1A66331F"/>
    <w:rsid w:val="1CE22479"/>
    <w:rsid w:val="1E0104DD"/>
    <w:rsid w:val="1E0F0C91"/>
    <w:rsid w:val="1EA4741C"/>
    <w:rsid w:val="283C571B"/>
    <w:rsid w:val="2CD32C5A"/>
    <w:rsid w:val="30C62676"/>
    <w:rsid w:val="388A16E7"/>
    <w:rsid w:val="3CC75F2B"/>
    <w:rsid w:val="43964717"/>
    <w:rsid w:val="43BE3353"/>
    <w:rsid w:val="443D4540"/>
    <w:rsid w:val="45553AE5"/>
    <w:rsid w:val="45974888"/>
    <w:rsid w:val="47D26073"/>
    <w:rsid w:val="47E75CBA"/>
    <w:rsid w:val="4B700D53"/>
    <w:rsid w:val="4BDA12B0"/>
    <w:rsid w:val="4D317F5A"/>
    <w:rsid w:val="4D3A7115"/>
    <w:rsid w:val="536D2F2E"/>
    <w:rsid w:val="546D21DB"/>
    <w:rsid w:val="5E677C9B"/>
    <w:rsid w:val="5EA70DDA"/>
    <w:rsid w:val="65271F32"/>
    <w:rsid w:val="66091AE9"/>
    <w:rsid w:val="68AB6E74"/>
    <w:rsid w:val="6C550632"/>
    <w:rsid w:val="742915A0"/>
    <w:rsid w:val="77E56B80"/>
    <w:rsid w:val="7C42088B"/>
    <w:rsid w:val="7CE637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4"/>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8">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9">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0">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1">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2">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3">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4">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5">
    <w:name w:val="Body Text First Indent 2"/>
    <w:basedOn w:val="6"/>
    <w:next w:val="1"/>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6">
    <w:name w:val="Body Text Indent"/>
    <w:basedOn w:val="1"/>
    <w:next w:val="7"/>
    <w:link w:val="61"/>
    <w:unhideWhenUsed/>
    <w:qFormat/>
    <w:uiPriority w:val="0"/>
    <w:pPr>
      <w:ind w:left="2730" w:hanging="2730" w:hangingChars="1365"/>
      <w:jc w:val="left"/>
    </w:pPr>
    <w:rPr>
      <w:sz w:val="20"/>
      <w:lang w:bidi="he-IL"/>
    </w:rPr>
  </w:style>
  <w:style w:type="paragraph" w:styleId="7">
    <w:name w:val="envelope return"/>
    <w:basedOn w:val="1"/>
    <w:qFormat/>
    <w:uiPriority w:val="0"/>
    <w:pPr>
      <w:snapToGrid w:val="0"/>
    </w:pPr>
    <w:rPr>
      <w:rFonts w:ascii="Arial" w:hAnsi="Arial"/>
    </w:rPr>
  </w:style>
  <w:style w:type="paragraph" w:styleId="15">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6">
    <w:name w:val="annotation text"/>
    <w:basedOn w:val="1"/>
    <w:link w:val="115"/>
    <w:unhideWhenUsed/>
    <w:qFormat/>
    <w:uiPriority w:val="0"/>
    <w:pPr>
      <w:adjustRightInd/>
      <w:spacing w:line="500" w:lineRule="exact"/>
      <w:jc w:val="left"/>
    </w:pPr>
    <w:rPr>
      <w:sz w:val="20"/>
    </w:rPr>
  </w:style>
  <w:style w:type="paragraph" w:styleId="17">
    <w:name w:val="Body Text 3"/>
    <w:basedOn w:val="1"/>
    <w:link w:val="71"/>
    <w:semiHidden/>
    <w:unhideWhenUsed/>
    <w:qFormat/>
    <w:uiPriority w:val="99"/>
    <w:pPr>
      <w:spacing w:after="120"/>
    </w:pPr>
    <w:rPr>
      <w:sz w:val="16"/>
      <w:szCs w:val="16"/>
    </w:rPr>
  </w:style>
  <w:style w:type="paragraph" w:styleId="18">
    <w:name w:val="Body Text"/>
    <w:basedOn w:val="1"/>
    <w:link w:val="78"/>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16"/>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76"/>
    <w:autoRedefine/>
    <w:semiHidden/>
    <w:unhideWhenUsed/>
    <w:qFormat/>
    <w:uiPriority w:val="99"/>
    <w:pPr>
      <w:ind w:left="100" w:leftChars="2500"/>
    </w:pPr>
  </w:style>
  <w:style w:type="paragraph" w:styleId="25">
    <w:name w:val="Body Text Indent 2"/>
    <w:basedOn w:val="1"/>
    <w:link w:val="74"/>
    <w:autoRedefine/>
    <w:unhideWhenUsed/>
    <w:qFormat/>
    <w:uiPriority w:val="99"/>
    <w:pPr>
      <w:spacing w:after="120" w:line="480" w:lineRule="auto"/>
      <w:ind w:left="420" w:leftChars="200"/>
      <w:jc w:val="left"/>
    </w:pPr>
  </w:style>
  <w:style w:type="paragraph" w:styleId="26">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26"/>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85"/>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yperlink"/>
    <w:basedOn w:val="41"/>
    <w:autoRedefine/>
    <w:unhideWhenUsed/>
    <w:qFormat/>
    <w:uiPriority w:val="99"/>
    <w:rPr>
      <w:color w:val="0000FF" w:themeColor="hyperlink"/>
      <w:u w:val="single"/>
      <w14:textFill>
        <w14:solidFill>
          <w14:schemeClr w14:val="hlink"/>
        </w14:solidFill>
      </w14:textFill>
    </w:rPr>
  </w:style>
  <w:style w:type="character" w:styleId="45">
    <w:name w:val="annotation reference"/>
    <w:autoRedefine/>
    <w:semiHidden/>
    <w:qFormat/>
    <w:uiPriority w:val="0"/>
    <w:rPr>
      <w:sz w:val="21"/>
      <w:szCs w:val="21"/>
    </w:rPr>
  </w:style>
  <w:style w:type="character" w:styleId="46">
    <w:name w:val="footnote reference"/>
    <w:autoRedefine/>
    <w:qFormat/>
    <w:uiPriority w:val="0"/>
    <w:rPr>
      <w:vertAlign w:val="superscript"/>
    </w:rPr>
  </w:style>
  <w:style w:type="paragraph" w:customStyle="1" w:styleId="47">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1"/>
    <w:link w:val="8"/>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1"/>
    <w:link w:val="9"/>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1"/>
    <w:link w:val="10"/>
    <w:autoRedefine/>
    <w:qFormat/>
    <w:uiPriority w:val="9"/>
    <w:rPr>
      <w:rFonts w:ascii="Times New Roman" w:hAnsi="Times New Roman" w:eastAsia="宋体" w:cs="Times New Roman"/>
      <w:b/>
      <w:bCs/>
      <w:sz w:val="28"/>
      <w:szCs w:val="28"/>
    </w:rPr>
  </w:style>
  <w:style w:type="character" w:customStyle="1" w:styleId="54">
    <w:name w:val="标题 6 字符"/>
    <w:basedOn w:val="41"/>
    <w:link w:val="11"/>
    <w:autoRedefine/>
    <w:qFormat/>
    <w:uiPriority w:val="9"/>
    <w:rPr>
      <w:rFonts w:ascii="Arial" w:hAnsi="Arial" w:eastAsia="黑体" w:cs="Times New Roman"/>
      <w:b/>
      <w:bCs/>
      <w:sz w:val="24"/>
      <w:szCs w:val="24"/>
    </w:rPr>
  </w:style>
  <w:style w:type="character" w:customStyle="1" w:styleId="55">
    <w:name w:val="标题 7 字符"/>
    <w:basedOn w:val="41"/>
    <w:link w:val="12"/>
    <w:autoRedefine/>
    <w:qFormat/>
    <w:uiPriority w:val="0"/>
    <w:rPr>
      <w:rFonts w:ascii="Times New Roman" w:hAnsi="Times New Roman" w:eastAsia="宋体" w:cs="Times New Roman"/>
      <w:b/>
      <w:bCs/>
      <w:sz w:val="24"/>
      <w:szCs w:val="24"/>
    </w:rPr>
  </w:style>
  <w:style w:type="character" w:customStyle="1" w:styleId="56">
    <w:name w:val="标题 8 字符"/>
    <w:basedOn w:val="41"/>
    <w:link w:val="13"/>
    <w:autoRedefine/>
    <w:qFormat/>
    <w:uiPriority w:val="0"/>
    <w:rPr>
      <w:rFonts w:ascii="Arial" w:hAnsi="Arial" w:eastAsia="黑体" w:cs="Times New Roman"/>
      <w:sz w:val="24"/>
      <w:szCs w:val="24"/>
    </w:rPr>
  </w:style>
  <w:style w:type="character" w:customStyle="1" w:styleId="57">
    <w:name w:val="标题 9 字符"/>
    <w:basedOn w:val="41"/>
    <w:link w:val="14"/>
    <w:autoRedefine/>
    <w:qFormat/>
    <w:uiPriority w:val="9"/>
    <w:rPr>
      <w:rFonts w:ascii="Arial" w:hAnsi="Arial" w:eastAsia="黑体" w:cs="Times New Roman"/>
      <w:szCs w:val="21"/>
    </w:rPr>
  </w:style>
  <w:style w:type="character" w:customStyle="1" w:styleId="58">
    <w:name w:val="页眉 字符"/>
    <w:basedOn w:val="41"/>
    <w:link w:val="28"/>
    <w:autoRedefine/>
    <w:qFormat/>
    <w:uiPriority w:val="0"/>
    <w:rPr>
      <w:sz w:val="18"/>
      <w:szCs w:val="18"/>
    </w:rPr>
  </w:style>
  <w:style w:type="character" w:customStyle="1" w:styleId="59">
    <w:name w:val="页脚 字符"/>
    <w:basedOn w:val="41"/>
    <w:link w:val="27"/>
    <w:autoRedefine/>
    <w:qFormat/>
    <w:uiPriority w:val="0"/>
    <w:rPr>
      <w:sz w:val="18"/>
      <w:szCs w:val="18"/>
    </w:rPr>
  </w:style>
  <w:style w:type="character" w:customStyle="1" w:styleId="60">
    <w:name w:val="批注框文本 字符"/>
    <w:basedOn w:val="41"/>
    <w:link w:val="26"/>
    <w:autoRedefine/>
    <w:semiHidden/>
    <w:qFormat/>
    <w:uiPriority w:val="99"/>
    <w:rPr>
      <w:sz w:val="18"/>
      <w:szCs w:val="18"/>
    </w:rPr>
  </w:style>
  <w:style w:type="character" w:customStyle="1" w:styleId="61">
    <w:name w:val="正文文本缩进 字符"/>
    <w:basedOn w:val="41"/>
    <w:link w:val="6"/>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72">
    <w:name w:val="fontstyle01"/>
    <w:basedOn w:val="41"/>
    <w:autoRedefine/>
    <w:qFormat/>
    <w:uiPriority w:val="0"/>
    <w:rPr>
      <w:rFonts w:hint="eastAsia" w:ascii="宋体" w:hAnsi="宋体" w:eastAsia="宋体"/>
      <w:color w:val="000000"/>
      <w:sz w:val="44"/>
      <w:szCs w:val="44"/>
    </w:rPr>
  </w:style>
  <w:style w:type="character" w:customStyle="1" w:styleId="73">
    <w:name w:val="fontstyle21"/>
    <w:basedOn w:val="41"/>
    <w:autoRedefine/>
    <w:qFormat/>
    <w:uiPriority w:val="0"/>
    <w:rPr>
      <w:rFonts w:hint="default" w:ascii="Wingdings-Regular" w:hAnsi="Wingdings-Regular"/>
      <w:color w:val="000000"/>
      <w:sz w:val="22"/>
      <w:szCs w:val="22"/>
    </w:rPr>
  </w:style>
  <w:style w:type="character" w:customStyle="1" w:styleId="74">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75">
    <w:name w:val="Unresolved Mention"/>
    <w:basedOn w:val="41"/>
    <w:autoRedefine/>
    <w:semiHidden/>
    <w:unhideWhenUsed/>
    <w:qFormat/>
    <w:uiPriority w:val="99"/>
    <w:rPr>
      <w:color w:val="605E5C"/>
      <w:shd w:val="clear" w:color="auto" w:fill="E1DFDD"/>
    </w:rPr>
  </w:style>
  <w:style w:type="character" w:customStyle="1" w:styleId="76">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77">
    <w:name w:val="正文缩进 字符"/>
    <w:link w:val="4"/>
    <w:autoRedefine/>
    <w:qFormat/>
    <w:uiPriority w:val="0"/>
    <w:rPr>
      <w:rFonts w:ascii="宋体"/>
      <w:sz w:val="24"/>
    </w:rPr>
  </w:style>
  <w:style w:type="character" w:customStyle="1" w:styleId="78">
    <w:name w:val="正文文本 字符"/>
    <w:basedOn w:val="41"/>
    <w:link w:val="18"/>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5"/>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8"/>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16">
    <w:name w:val="纯文本 字符"/>
    <w:basedOn w:val="41"/>
    <w:link w:val="22"/>
    <w:autoRedefine/>
    <w:qFormat/>
    <w:uiPriority w:val="0"/>
    <w:rPr>
      <w:rFonts w:ascii="宋体" w:hAnsi="Courier New" w:eastAsia="宋体" w:cs="Times New Roman"/>
      <w:kern w:val="0"/>
      <w:szCs w:val="20"/>
    </w:rPr>
  </w:style>
  <w:style w:type="character" w:customStyle="1" w:styleId="117">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18">
    <w:name w:val="font41"/>
    <w:basedOn w:val="41"/>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1"/>
    <w:autoRedefine/>
    <w:qFormat/>
    <w:uiPriority w:val="0"/>
    <w:rPr>
      <w:rFonts w:hint="eastAsia" w:ascii="宋体" w:hAnsi="宋体" w:eastAsia="宋体"/>
      <w:b/>
      <w:color w:val="000000"/>
      <w:kern w:val="2"/>
      <w:sz w:val="18"/>
      <w:u w:val="none"/>
    </w:rPr>
  </w:style>
  <w:style w:type="paragraph" w:customStyle="1" w:styleId="122">
    <w:name w:val="模板普通正文"/>
    <w:basedOn w:val="6"/>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3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52</Pages>
  <Words>21779</Words>
  <Characters>23061</Characters>
  <Lines>29</Lines>
  <Paragraphs>8</Paragraphs>
  <TotalTime>1</TotalTime>
  <ScaleCrop>false</ScaleCrop>
  <LinksUpToDate>false</LinksUpToDate>
  <CharactersWithSpaces>25817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2024-08-30T02:26:24Z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202C8088630B4178814F9DD180159EAB_13</vt:lpwstr>
  </property>
</Properties>
</file>