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5"/>
        <w:ind w:left="0" w:leftChars="0" w:firstLine="0" w:firstLineChars="0"/>
      </w:pPr>
    </w:p>
    <w:p w14:paraId="13E985D8">
      <w:pPr>
        <w:pStyle w:val="55"/>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桐城师范高等专科学校2025年度教学设备</w:t>
      </w:r>
    </w:p>
    <w:p w14:paraId="78C69627">
      <w:pPr>
        <w:pStyle w:val="55"/>
        <w:spacing w:before="0" w:beforeAutospacing="0" w:after="0" w:afterAutospacing="0" w:line="240" w:lineRule="auto"/>
        <w:ind w:left="0" w:firstLine="0"/>
        <w:jc w:val="center"/>
        <w:rPr>
          <w:rFonts w:hint="eastAsia"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及办公设备维修维护服务项目</w:t>
      </w:r>
    </w:p>
    <w:p w14:paraId="1B42889C">
      <w:pPr>
        <w:spacing w:line="480" w:lineRule="exact"/>
        <w:rPr>
          <w:rFonts w:ascii="宋体"/>
          <w:color w:val="auto"/>
          <w:sz w:val="44"/>
          <w:szCs w:val="44"/>
          <w:highlight w:val="none"/>
        </w:rPr>
      </w:pPr>
    </w:p>
    <w:p w14:paraId="5E8CFB64">
      <w:pPr>
        <w:pStyle w:val="55"/>
        <w:jc w:val="center"/>
        <w:rPr>
          <w:rFonts w:hint="eastAsia" w:ascii="宋体"/>
          <w:b/>
          <w:bCs/>
          <w:color w:val="auto"/>
          <w:sz w:val="72"/>
          <w:szCs w:val="72"/>
          <w:highlight w:val="none"/>
          <w:lang w:val="en-US" w:eastAsia="zh-CN"/>
        </w:rPr>
      </w:pPr>
    </w:p>
    <w:p w14:paraId="26273924">
      <w:pPr>
        <w:pStyle w:val="55"/>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027</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安徽建方工程造价有限公司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r>
        <w:rPr>
          <w:rFonts w:hint="eastAsia" w:asciiTheme="majorEastAsia" w:hAnsiTheme="majorEastAsia" w:eastAsiaTheme="majorEastAsia" w:cstheme="majorEastAsia"/>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12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3FEB5B2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55"/>
        <w:rPr>
          <w:color w:val="auto"/>
          <w:highlight w:val="none"/>
          <w:lang w:val="zh-CN"/>
        </w:rPr>
      </w:pPr>
    </w:p>
    <w:p w14:paraId="1542DBC9">
      <w:pPr>
        <w:pStyle w:val="29"/>
        <w:tabs>
          <w:tab w:val="right" w:leader="dot" w:pos="9070"/>
        </w:tabs>
        <w:spacing w:line="360" w:lineRule="auto"/>
        <w:rPr>
          <w:color w:val="auto"/>
          <w:sz w:val="28"/>
          <w:szCs w:val="24"/>
          <w:highlight w:val="none"/>
        </w:rPr>
      </w:pPr>
      <w:bookmarkStart w:id="0" w:name="_Toc21464"/>
      <w:bookmarkStart w:id="1" w:name="_Toc23467"/>
      <w:bookmarkStart w:id="2" w:name="_Toc54941328"/>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2</w:t>
      </w:r>
    </w:p>
    <w:p w14:paraId="5B6135D5">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4</w:t>
      </w:r>
    </w:p>
    <w:p w14:paraId="62AA5D4C">
      <w:pPr>
        <w:pStyle w:val="29"/>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365392B1">
      <w:pPr>
        <w:pStyle w:val="29"/>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w:t>
      </w:r>
      <w:r>
        <w:rPr>
          <w:rFonts w:hint="eastAsia"/>
          <w:color w:val="auto"/>
          <w:sz w:val="28"/>
          <w:szCs w:val="24"/>
          <w:highlight w:val="none"/>
          <w:lang w:val="en-US" w:eastAsia="zh-CN"/>
        </w:rPr>
        <w:t>2</w:t>
      </w:r>
      <w:r>
        <w:rPr>
          <w:color w:val="auto"/>
          <w:sz w:val="28"/>
          <w:szCs w:val="24"/>
          <w:highlight w:val="none"/>
        </w:rPr>
        <w:fldChar w:fldCharType="end"/>
      </w:r>
      <w:r>
        <w:rPr>
          <w:color w:val="auto"/>
          <w:sz w:val="28"/>
          <w:szCs w:val="40"/>
          <w:highlight w:val="none"/>
        </w:rPr>
        <w:fldChar w:fldCharType="end"/>
      </w:r>
    </w:p>
    <w:p w14:paraId="6F952120">
      <w:pPr>
        <w:pStyle w:val="21"/>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1"/>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35393797"/>
      <w:bookmarkStart w:id="6" w:name="_Toc28359011"/>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桐城师范高等专科学校2025年度教学设备及办公设备维修维护服务项目竞争性谈判公告</w:t>
      </w:r>
      <w:bookmarkEnd w:id="5"/>
      <w:bookmarkEnd w:id="6"/>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540" w:firstLineChars="2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桐城师范高等专科学校2025年度教学设备及办公设备维修维护服务项目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的潜在供应商应在桐城师范高等专科学校官网获取采购文件，并于2024年12月17日9时00分（北京时间）前提交响应文件。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28359012"/>
      <w:bookmarkStart w:id="10" w:name="_Toc35393629"/>
      <w:bookmarkStart w:id="11" w:name="_Toc35393798"/>
      <w:bookmarkStart w:id="12" w:name="_Toc28359089"/>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027</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项目名称：桐城师范高等专科学校</w:t>
      </w:r>
      <w:r>
        <w:rPr>
          <w:rFonts w:hint="eastAsia" w:asciiTheme="minorEastAsia" w:hAnsiTheme="minorEastAsia" w:eastAsiaTheme="minorEastAsia" w:cstheme="minorEastAsia"/>
          <w:color w:val="auto"/>
          <w:sz w:val="28"/>
          <w:szCs w:val="28"/>
          <w:highlight w:val="none"/>
          <w:lang w:val="en-US" w:eastAsia="zh-CN"/>
        </w:rPr>
        <w:t>2025年度</w:t>
      </w:r>
      <w:r>
        <w:rPr>
          <w:rFonts w:hint="eastAsia" w:asciiTheme="minorEastAsia" w:hAnsiTheme="minorEastAsia" w:eastAsiaTheme="minorEastAsia" w:cstheme="minorEastAsia"/>
          <w:color w:val="auto"/>
          <w:sz w:val="28"/>
          <w:szCs w:val="28"/>
          <w:highlight w:val="none"/>
          <w:lang w:eastAsia="zh-CN"/>
        </w:rPr>
        <w:t>教学设备及办公设备</w:t>
      </w:r>
      <w:r>
        <w:rPr>
          <w:rFonts w:hint="eastAsia" w:asciiTheme="minorEastAsia" w:hAnsiTheme="minorEastAsia" w:eastAsiaTheme="minorEastAsia" w:cstheme="minorEastAsia"/>
          <w:color w:val="auto"/>
          <w:sz w:val="28"/>
          <w:szCs w:val="28"/>
          <w:highlight w:val="none"/>
          <w:lang w:val="en-US" w:eastAsia="zh-CN"/>
        </w:rPr>
        <w:t>维修维护服务项目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100000.00元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100000.00元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eastAsia="zh-CN"/>
        </w:rPr>
        <w:t>桐城师范高等专科学校2025年度教学设备及办公设备维修维护服务项目</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 xml:space="preserve">1年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28359090"/>
      <w:bookmarkStart w:id="14" w:name="_Toc35393630"/>
      <w:bookmarkStart w:id="15" w:name="_Toc28359013"/>
      <w:bookmarkStart w:id="16" w:name="_Toc35393799"/>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35393800"/>
      <w:bookmarkStart w:id="18" w:name="_Toc35393631"/>
      <w:bookmarkStart w:id="19" w:name="_Toc28359091"/>
      <w:bookmarkStart w:id="20" w:name="_Toc28359014"/>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r>
        <w:rPr>
          <w:rFonts w:hint="eastAsia" w:asciiTheme="minorEastAsia" w:hAnsiTheme="minorEastAsia" w:eastAsiaTheme="minorEastAsia" w:cstheme="minorEastAsia"/>
          <w:color w:val="auto"/>
          <w:sz w:val="28"/>
          <w:szCs w:val="28"/>
          <w:highlight w:val="none"/>
        </w:rPr>
        <w:t>供应商从事过类似维保服务项目</w:t>
      </w:r>
      <w:r>
        <w:rPr>
          <w:rFonts w:hint="eastAsia" w:asciiTheme="minorEastAsia" w:hAnsiTheme="minorEastAsia" w:eastAsiaTheme="minorEastAsia" w:cstheme="minorEastAsia"/>
          <w:color w:val="auto"/>
          <w:sz w:val="28"/>
          <w:szCs w:val="28"/>
          <w:highlight w:val="none"/>
          <w:lang w:val="en-US" w:eastAsia="zh-CN"/>
        </w:rPr>
        <w:t>业绩</w:t>
      </w:r>
      <w:r>
        <w:rPr>
          <w:rFonts w:hint="eastAsia" w:asciiTheme="minorEastAsia" w:hAnsiTheme="minorEastAsia" w:eastAsiaTheme="minorEastAsia" w:cstheme="minorEastAsia"/>
          <w:color w:val="auto"/>
          <w:sz w:val="28"/>
          <w:szCs w:val="28"/>
          <w:highlight w:val="none"/>
        </w:rPr>
        <w:t>（需提供中标通知书及签订合同的影印件)</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4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12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17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28359092"/>
      <w:bookmarkStart w:id="22" w:name="_Toc28359015"/>
      <w:bookmarkStart w:id="23" w:name="_Toc35393801"/>
      <w:bookmarkStart w:id="24" w:name="_Toc35393632"/>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28359093"/>
      <w:bookmarkStart w:id="26" w:name="_Toc35393802"/>
      <w:bookmarkStart w:id="27" w:name="_Toc28359016"/>
      <w:bookmarkStart w:id="28" w:name="_Toc35393633"/>
      <w:r>
        <w:rPr>
          <w:rFonts w:hint="eastAsia" w:asciiTheme="minorEastAsia" w:hAnsiTheme="minorEastAsia" w:eastAsiaTheme="minorEastAsia" w:cstheme="minorEastAsia"/>
          <w:b w:val="0"/>
          <w:bCs/>
          <w:color w:val="auto"/>
          <w:sz w:val="28"/>
          <w:szCs w:val="28"/>
          <w:highlight w:val="none"/>
        </w:rPr>
        <w:t>截止时间：202</w:t>
      </w:r>
      <w:r>
        <w:rPr>
          <w:rFonts w:hint="eastAsia" w:asciiTheme="minorEastAsia" w:hAnsiTheme="minorEastAsia" w:eastAsiaTheme="minorEastAsia" w:cstheme="minorEastAsia"/>
          <w:b w:val="0"/>
          <w:bCs/>
          <w:color w:val="auto"/>
          <w:sz w:val="28"/>
          <w:szCs w:val="28"/>
          <w:highlight w:val="none"/>
          <w:lang w:val="en-US" w:eastAsia="zh-CN"/>
        </w:rPr>
        <w:t xml:space="preserve">4 </w:t>
      </w:r>
      <w:r>
        <w:rPr>
          <w:rFonts w:hint="eastAsia" w:asciiTheme="minorEastAsia" w:hAnsiTheme="minorEastAsia" w:eastAsiaTheme="minorEastAsia" w:cstheme="minorEastAsia"/>
          <w:b w:val="0"/>
          <w:bCs/>
          <w:color w:val="auto"/>
          <w:sz w:val="28"/>
          <w:szCs w:val="28"/>
          <w:highlight w:val="none"/>
        </w:rPr>
        <w:t>年</w:t>
      </w:r>
      <w:r>
        <w:rPr>
          <w:rFonts w:hint="eastAsia" w:asciiTheme="minorEastAsia" w:hAnsiTheme="minorEastAsia" w:eastAsiaTheme="minorEastAsia" w:cstheme="minorEastAsia"/>
          <w:b w:val="0"/>
          <w:bCs/>
          <w:color w:val="auto"/>
          <w:sz w:val="28"/>
          <w:szCs w:val="28"/>
          <w:highlight w:val="none"/>
          <w:lang w:val="en-US" w:eastAsia="zh-CN"/>
        </w:rPr>
        <w:t xml:space="preserve"> 12 </w:t>
      </w:r>
      <w:r>
        <w:rPr>
          <w:rFonts w:hint="eastAsia" w:asciiTheme="minorEastAsia" w:hAnsiTheme="minorEastAsia" w:eastAsiaTheme="minorEastAsia" w:cstheme="minorEastAsia"/>
          <w:b w:val="0"/>
          <w:bCs/>
          <w:color w:val="auto"/>
          <w:sz w:val="28"/>
          <w:szCs w:val="28"/>
          <w:highlight w:val="none"/>
        </w:rPr>
        <w:t>月</w:t>
      </w:r>
      <w:r>
        <w:rPr>
          <w:rFonts w:hint="eastAsia" w:asciiTheme="minorEastAsia" w:hAnsiTheme="minorEastAsia" w:eastAsiaTheme="minorEastAsia" w:cstheme="minorEastAsia"/>
          <w:b w:val="0"/>
          <w:bCs/>
          <w:color w:val="auto"/>
          <w:sz w:val="28"/>
          <w:szCs w:val="28"/>
          <w:highlight w:val="none"/>
          <w:lang w:val="en-US" w:eastAsia="zh-CN"/>
        </w:rPr>
        <w:t xml:space="preserve"> 17 </w:t>
      </w:r>
      <w:r>
        <w:rPr>
          <w:rFonts w:hint="eastAsia" w:asciiTheme="minorEastAsia" w:hAnsiTheme="minorEastAsia" w:eastAsiaTheme="minorEastAsia" w:cstheme="minorEastAsia"/>
          <w:b w:val="0"/>
          <w:bCs/>
          <w:color w:val="auto"/>
          <w:sz w:val="28"/>
          <w:szCs w:val="28"/>
          <w:highlight w:val="none"/>
        </w:rPr>
        <w:t>日</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9</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时</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00</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分</w:t>
      </w:r>
    </w:p>
    <w:p w14:paraId="4023AD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575E4235">
      <w:pPr>
        <w:keepNext w:val="0"/>
        <w:keepLines w:val="0"/>
        <w:pageBreakBefore w:val="0"/>
        <w:widowControl w:val="0"/>
        <w:kinsoku/>
        <w:wordWrap/>
        <w:overflowPunct/>
        <w:topLinePunct w:val="0"/>
        <w:autoSpaceDE/>
        <w:autoSpaceDN/>
        <w:bidi w:val="0"/>
        <w:adjustRightInd/>
        <w:snapToGrid/>
        <w:spacing w:line="460" w:lineRule="exact"/>
        <w:ind w:firstLine="840" w:firstLineChars="3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35393803"/>
      <w:bookmarkStart w:id="30" w:name="_Toc35393634"/>
      <w:bookmarkStart w:id="31" w:name="_Toc28359094"/>
      <w:bookmarkStart w:id="32" w:name="_Toc28359017"/>
      <w:r>
        <w:rPr>
          <w:rFonts w:hint="eastAsia" w:asciiTheme="minorEastAsia" w:hAnsiTheme="minorEastAsia" w:eastAsiaTheme="minorEastAsia" w:cstheme="minorEastAsia"/>
          <w:color w:val="auto"/>
          <w:sz w:val="28"/>
          <w:szCs w:val="28"/>
          <w:highlight w:val="none"/>
          <w:lang w:val="en-US" w:eastAsia="zh-CN"/>
        </w:rPr>
        <w:t>时间：2024 年 12 月 17 日 9 时 00 分</w:t>
      </w:r>
    </w:p>
    <w:p w14:paraId="59AFF3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lang w:val="en-US" w:eastAsia="zh-CN"/>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b w:val="0"/>
          <w:bCs/>
          <w:color w:val="auto"/>
          <w:sz w:val="28"/>
          <w:szCs w:val="28"/>
          <w:highlight w:val="none"/>
          <w:lang w:val="en-US" w:eastAsia="zh-CN"/>
        </w:rPr>
        <w:t>安徽建方工程造价有限公司二楼会议室</w:t>
      </w:r>
    </w:p>
    <w:p w14:paraId="12187487">
      <w:pPr>
        <w:keepNext w:val="0"/>
        <w:keepLines w:val="0"/>
        <w:pageBreakBefore w:val="0"/>
        <w:widowControl w:val="0"/>
        <w:kinsoku/>
        <w:wordWrap/>
        <w:overflowPunct/>
        <w:topLinePunct w:val="0"/>
        <w:autoSpaceDE/>
        <w:autoSpaceDN/>
        <w:bidi w:val="0"/>
        <w:adjustRightInd/>
        <w:snapToGrid/>
        <w:spacing w:line="460" w:lineRule="exact"/>
        <w:ind w:firstLine="840" w:firstLineChars="3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桐城市龙眠东路261号</w:t>
      </w:r>
      <w:r>
        <w:rPr>
          <w:rFonts w:hint="eastAsia" w:asciiTheme="minorEastAsia" w:hAnsiTheme="minorEastAsia" w:eastAsiaTheme="minorEastAsia" w:cstheme="minorEastAsia"/>
          <w:b w:val="0"/>
          <w:bCs/>
          <w:color w:val="auto"/>
          <w:sz w:val="28"/>
          <w:szCs w:val="28"/>
          <w:highlight w:val="none"/>
          <w:lang w:val="en-US" w:eastAsia="zh-CN"/>
        </w:rPr>
        <w:t>）</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804"/>
      <w:bookmarkStart w:id="34" w:name="_Toc35393635"/>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357FF2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1.响应文件要求：投标时需将“响应文件”分正/副本（一正、一副）一起装袋密封，并在密封袋上加盖公章。响应文件未按要求装订密封，现场报名时招标代理将拒绝接收。</w:t>
      </w:r>
    </w:p>
    <w:p w14:paraId="0EED25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名称：安徽建方工程造价有限公司</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桐城市龙眠东路261号</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联系人：唐先生             联系方式：</w:t>
      </w:r>
      <w:bookmarkEnd w:id="7"/>
      <w:r>
        <w:rPr>
          <w:rFonts w:hint="eastAsia" w:asciiTheme="minorEastAsia" w:hAnsiTheme="minorEastAsia" w:eastAsiaTheme="minorEastAsia" w:cstheme="minorEastAsia"/>
          <w:color w:val="auto"/>
          <w:sz w:val="28"/>
          <w:szCs w:val="28"/>
          <w:highlight w:val="none"/>
          <w:lang w:val="en-US" w:eastAsia="zh-CN"/>
        </w:rPr>
        <w:t>16655617228</w:t>
      </w:r>
      <w:bookmarkEnd w:id="8"/>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11266"/>
      <w:bookmarkStart w:id="37" w:name="_Toc26069"/>
      <w:bookmarkStart w:id="38" w:name="_Toc5494132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3"/>
        <w:rPr>
          <w:rFonts w:hint="eastAsia" w:eastAsia="宋体" w:cs="Tahoma"/>
          <w:bCs/>
          <w:color w:val="auto"/>
          <w:kern w:val="0"/>
          <w:sz w:val="32"/>
          <w:szCs w:val="32"/>
          <w:highlight w:val="none"/>
          <w:lang w:eastAsia="zh-CN"/>
        </w:rPr>
      </w:pPr>
      <w:bookmarkStart w:id="39" w:name="_Toc54941330"/>
      <w:bookmarkStart w:id="40" w:name="_Toc17862"/>
      <w:bookmarkStart w:id="41" w:name="_Toc439316871"/>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39"/>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安徽建方工程造价有限公司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1DD3A15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kern w:val="0"/>
                <w:sz w:val="21"/>
                <w:szCs w:val="21"/>
                <w:highlight w:val="none"/>
                <w:lang w:val="en-US" w:eastAsia="zh-CN"/>
              </w:rPr>
              <w:t>详见第六章响应文件格式</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8"/>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54941331"/>
      <w:bookmarkStart w:id="44"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439316873"/>
      <w:bookmarkStart w:id="46" w:name="_Toc25270"/>
      <w:bookmarkStart w:id="47" w:name="_Toc7325"/>
      <w:bookmarkStart w:id="48" w:name="_Toc21078"/>
      <w:bookmarkStart w:id="49" w:name="_Toc439316919"/>
      <w:bookmarkStart w:id="50" w:name="_Toc10523"/>
      <w:bookmarkStart w:id="51" w:name="_Toc15055"/>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1704"/>
      <w:bookmarkStart w:id="53" w:name="_Toc439316920"/>
      <w:bookmarkStart w:id="54" w:name="_Toc27113"/>
      <w:bookmarkStart w:id="55" w:name="_Toc24643"/>
      <w:bookmarkStart w:id="56" w:name="_Toc8228"/>
      <w:bookmarkStart w:id="57" w:name="_Toc439316874"/>
      <w:bookmarkStart w:id="58" w:name="_Toc10933"/>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921"/>
      <w:bookmarkStart w:id="60"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54941336"/>
      <w:bookmarkStart w:id="65"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54941337"/>
      <w:bookmarkStart w:id="67"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55"/>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7066DBC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2"/>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2"/>
              <w:jc w:val="center"/>
              <w:rPr>
                <w:rFonts w:hint="default" w:eastAsia="宋体"/>
                <w:lang w:val="en-US" w:eastAsia="zh-CN"/>
              </w:rPr>
            </w:pPr>
            <w:r>
              <w:rPr>
                <w:rFonts w:hint="eastAsia"/>
                <w:lang w:val="en-US" w:eastAsia="zh-CN"/>
              </w:rPr>
              <w:t>条款名称</w:t>
            </w:r>
          </w:p>
        </w:tc>
        <w:tc>
          <w:tcPr>
            <w:tcW w:w="5170" w:type="dxa"/>
            <w:vAlign w:val="center"/>
          </w:tcPr>
          <w:p w14:paraId="5E9AB130">
            <w:pPr>
              <w:pStyle w:val="22"/>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每年结算一次</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一年</w:t>
            </w:r>
          </w:p>
        </w:tc>
      </w:tr>
    </w:tbl>
    <w:p w14:paraId="7569839F">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lang w:val="en-US" w:eastAsia="zh-CN"/>
        </w:rPr>
        <w:t>二、</w:t>
      </w:r>
      <w:r>
        <w:rPr>
          <w:rFonts w:hint="eastAsia" w:asciiTheme="minorEastAsia" w:hAnsiTheme="minorEastAsia" w:eastAsiaTheme="minorEastAsia" w:cstheme="minorEastAsia"/>
          <w:bCs/>
          <w:sz w:val="24"/>
          <w:szCs w:val="24"/>
        </w:rPr>
        <w:t>服务内容</w:t>
      </w:r>
    </w:p>
    <w:p w14:paraId="6D93D9B3">
      <w:pPr>
        <w:pageBreakBefore w:val="0"/>
        <w:widowControl/>
        <w:kinsoku/>
        <w:wordWrap/>
        <w:overflowPunct/>
        <w:topLinePunct w:val="0"/>
        <w:autoSpaceDE/>
        <w:autoSpaceDN/>
        <w:bidi w:val="0"/>
        <w:adjustRightInd w:val="0"/>
        <w:snapToGrid/>
        <w:spacing w:line="420" w:lineRule="exact"/>
        <w:ind w:firstLine="480" w:firstLineChars="200"/>
        <w:textAlignment w:val="auto"/>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供应商应具备在桐城市范围内提供多媒体教学设备、会议设备、办公设备的运维管理和维修维护服务水平及能力。</w:t>
      </w:r>
    </w:p>
    <w:p w14:paraId="6BF5CDC7">
      <w:pPr>
        <w:widowControl/>
        <w:spacing w:line="405" w:lineRule="atLeast"/>
        <w:ind w:firstLine="480" w:firstLineChars="200"/>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lang w:val="en-US" w:eastAsia="zh-CN"/>
        </w:rPr>
        <w:t>1</w:t>
      </w: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rPr>
        <w:t>项目职责范围：</w:t>
      </w:r>
    </w:p>
    <w:p w14:paraId="5545E478">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确保以下多媒体教学设备、会议设备、办公设备正常的教学及运转顺利进行：</w:t>
      </w:r>
    </w:p>
    <w:p w14:paraId="19D64068">
      <w:pPr>
        <w:widowControl/>
        <w:spacing w:line="405" w:lineRule="atLeast"/>
        <w:ind w:firstLine="482" w:firstLineChars="200"/>
        <w:rPr>
          <w:rFonts w:hint="eastAsia" w:asciiTheme="minorEastAsia" w:hAnsiTheme="minorEastAsia" w:eastAsiaTheme="minorEastAsia" w:cstheme="minorEastAsia"/>
          <w:b/>
          <w:bCs/>
          <w:color w:val="040000"/>
          <w:kern w:val="0"/>
          <w:sz w:val="29"/>
          <w:szCs w:val="29"/>
        </w:rPr>
      </w:pPr>
      <w:r>
        <w:rPr>
          <w:rFonts w:hint="eastAsia" w:asciiTheme="minorEastAsia" w:hAnsiTheme="minorEastAsia" w:eastAsiaTheme="minorEastAsia" w:cstheme="minorEastAsia"/>
          <w:b/>
          <w:bCs/>
          <w:color w:val="040000"/>
          <w:kern w:val="0"/>
          <w:sz w:val="24"/>
          <w:szCs w:val="24"/>
        </w:rPr>
        <w:t>1、投影机数量</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160</w:t>
      </w:r>
      <w:r>
        <w:rPr>
          <w:rFonts w:hint="eastAsia" w:asciiTheme="minorEastAsia" w:hAnsiTheme="minorEastAsia" w:eastAsiaTheme="minorEastAsia" w:cstheme="minorEastAsia"/>
          <w:b/>
          <w:bCs/>
          <w:color w:val="040000"/>
          <w:kern w:val="0"/>
          <w:sz w:val="24"/>
          <w:szCs w:val="24"/>
        </w:rPr>
        <w:t>余台</w:t>
      </w:r>
    </w:p>
    <w:p w14:paraId="3097DE20">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服务内容：根据教学使用情况，进行更换灯泡含光学调整、更换偏振片含光学调整、更换PBS 板、含光学调整、更换液晶板组件含光学调整、日常镜头除尘、内部设备除尘、更换电源主板、风扇及其它部件维护维修，投影线路维护维修、</w:t>
      </w:r>
      <w:r>
        <w:rPr>
          <w:rFonts w:hint="eastAsia" w:asciiTheme="minorEastAsia" w:hAnsiTheme="minorEastAsia" w:eastAsiaTheme="minorEastAsia" w:cstheme="minorEastAsia"/>
          <w:sz w:val="24"/>
          <w:szCs w:val="24"/>
        </w:rPr>
        <w:t>控制开关维修更换、</w:t>
      </w:r>
      <w:r>
        <w:rPr>
          <w:rFonts w:hint="eastAsia" w:asciiTheme="minorEastAsia" w:hAnsiTheme="minorEastAsia" w:eastAsiaTheme="minorEastAsia" w:cstheme="minorEastAsia"/>
          <w:color w:val="040000"/>
          <w:kern w:val="0"/>
          <w:sz w:val="24"/>
          <w:szCs w:val="24"/>
        </w:rPr>
        <w:t>配置运维管理等工作。配件要求：投影机灯泡为原厂原装带支架灯泡，其他配件为原厂配件。</w:t>
      </w:r>
    </w:p>
    <w:p w14:paraId="63EA60D6">
      <w:pPr>
        <w:widowControl/>
        <w:spacing w:line="405" w:lineRule="atLeast"/>
        <w:ind w:firstLine="482" w:firstLineChars="200"/>
        <w:rPr>
          <w:rFonts w:hint="eastAsia" w:asciiTheme="minorEastAsia" w:hAnsiTheme="minorEastAsia" w:eastAsiaTheme="minorEastAsia" w:cstheme="minorEastAsia"/>
          <w:b/>
          <w:bCs/>
          <w:color w:val="000000" w:themeColor="text1"/>
          <w:kern w:val="0"/>
          <w:sz w:val="29"/>
          <w:szCs w:val="29"/>
          <w14:textFill>
            <w14:solidFill>
              <w14:schemeClr w14:val="tx1"/>
            </w14:solidFill>
          </w14:textFill>
        </w:rPr>
      </w:pPr>
      <w:r>
        <w:rPr>
          <w:rFonts w:hint="eastAsia" w:asciiTheme="minorEastAsia" w:hAnsiTheme="minorEastAsia" w:eastAsiaTheme="minorEastAsia" w:cstheme="minorEastAsia"/>
          <w:b/>
          <w:bCs/>
          <w:color w:val="040000"/>
          <w:kern w:val="0"/>
          <w:sz w:val="24"/>
          <w:szCs w:val="24"/>
        </w:rPr>
        <w:t>2、计算</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机数量</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900</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余台（含所有计算机实训室和办公电脑）</w:t>
      </w:r>
    </w:p>
    <w:p w14:paraId="78DACE32">
      <w:pPr>
        <w:widowControl/>
        <w:spacing w:line="405" w:lineRule="atLeast"/>
        <w:rPr>
          <w:rFonts w:hint="eastAsia" w:asciiTheme="minorEastAsia" w:hAnsiTheme="minorEastAsia" w:eastAsiaTheme="minorEastAsia" w:cstheme="minorEastAsia"/>
          <w:color w:val="000000" w:themeColor="text1"/>
          <w:kern w:val="0"/>
          <w:sz w:val="29"/>
          <w:szCs w:val="29"/>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服务内容：维护维修硬盘、内存、主板及主板附件、电源、网卡、键盘鼠标、显示器及安装系统、软件、配置运维管理等工作。</w:t>
      </w:r>
    </w:p>
    <w:p w14:paraId="6D7EF53F">
      <w:pPr>
        <w:widowControl/>
        <w:spacing w:line="405" w:lineRule="atLeast"/>
        <w:ind w:firstLine="482" w:firstLineChars="200"/>
        <w:rPr>
          <w:rFonts w:hint="eastAsia" w:asciiTheme="minorEastAsia" w:hAnsiTheme="minorEastAsia" w:eastAsiaTheme="minorEastAsia" w:cstheme="minorEastAsia"/>
          <w:b/>
          <w:bCs/>
          <w:color w:val="040000"/>
          <w:kern w:val="0"/>
          <w:sz w:val="24"/>
          <w:szCs w:val="24"/>
        </w:rPr>
      </w:pPr>
      <w:r>
        <w:rPr>
          <w:rFonts w:hint="eastAsia" w:asciiTheme="minorEastAsia" w:hAnsiTheme="minorEastAsia" w:eastAsiaTheme="minorEastAsia" w:cstheme="minorEastAsia"/>
          <w:b/>
          <w:bCs/>
          <w:color w:val="040000"/>
          <w:kern w:val="0"/>
          <w:sz w:val="24"/>
          <w:szCs w:val="24"/>
        </w:rPr>
        <w:t>3、多媒体音响设备数量</w:t>
      </w:r>
      <w:r>
        <w:rPr>
          <w:rFonts w:hint="eastAsia" w:asciiTheme="minorEastAsia" w:hAnsiTheme="minorEastAsia" w:eastAsiaTheme="minorEastAsia" w:cstheme="minorEastAsia"/>
          <w:b/>
          <w:bCs/>
          <w:color w:val="040000"/>
          <w:kern w:val="0"/>
          <w:sz w:val="24"/>
          <w:szCs w:val="24"/>
          <w:lang w:val="en-US" w:eastAsia="zh-CN"/>
        </w:rPr>
        <w:t>160</w:t>
      </w:r>
      <w:r>
        <w:rPr>
          <w:rFonts w:hint="eastAsia" w:asciiTheme="minorEastAsia" w:hAnsiTheme="minorEastAsia" w:eastAsiaTheme="minorEastAsia" w:cstheme="minorEastAsia"/>
          <w:b/>
          <w:bCs/>
          <w:color w:val="040000"/>
          <w:kern w:val="0"/>
          <w:sz w:val="24"/>
          <w:szCs w:val="24"/>
        </w:rPr>
        <w:t>余组</w:t>
      </w:r>
    </w:p>
    <w:p w14:paraId="20C62302">
      <w:pPr>
        <w:widowControl/>
        <w:spacing w:line="405" w:lineRule="atLeast"/>
        <w:rPr>
          <w:rFonts w:hint="eastAsia" w:asciiTheme="minorEastAsia" w:hAnsiTheme="minorEastAsia" w:eastAsiaTheme="minorEastAsia" w:cstheme="minorEastAsia"/>
          <w:color w:val="000000" w:themeColor="text1"/>
          <w:kern w:val="0"/>
          <w:sz w:val="29"/>
          <w:szCs w:val="29"/>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服务内容：维护维修电源主板、运放模块、音量调节、更换音箱、音频线路等。</w:t>
      </w:r>
    </w:p>
    <w:p w14:paraId="4BA163F7">
      <w:pPr>
        <w:widowControl/>
        <w:spacing w:line="405" w:lineRule="atLeast"/>
        <w:ind w:firstLine="482" w:firstLineChars="200"/>
        <w:rPr>
          <w:rFonts w:hint="eastAsia" w:asciiTheme="minorEastAsia" w:hAnsiTheme="minorEastAsia" w:eastAsiaTheme="minorEastAsia" w:cstheme="minorEastAsia"/>
          <w:b/>
          <w:bCs/>
          <w:color w:val="040000"/>
          <w:kern w:val="0"/>
          <w:sz w:val="24"/>
          <w:szCs w:val="24"/>
        </w:rPr>
      </w:pPr>
      <w:r>
        <w:rPr>
          <w:rFonts w:hint="eastAsia" w:asciiTheme="minorEastAsia" w:hAnsiTheme="minorEastAsia" w:eastAsiaTheme="minorEastAsia" w:cstheme="minorEastAsia"/>
          <w:b/>
          <w:bCs/>
          <w:color w:val="040000"/>
          <w:kern w:val="0"/>
          <w:sz w:val="24"/>
          <w:szCs w:val="24"/>
        </w:rPr>
        <w:t>4、多媒体教学幕布数量</w:t>
      </w:r>
      <w:r>
        <w:rPr>
          <w:rFonts w:hint="eastAsia" w:asciiTheme="minorEastAsia" w:hAnsiTheme="minorEastAsia" w:eastAsiaTheme="minorEastAsia" w:cstheme="minorEastAsia"/>
          <w:b/>
          <w:bCs/>
          <w:color w:val="040000"/>
          <w:kern w:val="0"/>
          <w:sz w:val="24"/>
          <w:szCs w:val="24"/>
          <w:lang w:val="en-US" w:eastAsia="zh-CN"/>
        </w:rPr>
        <w:t>160</w:t>
      </w:r>
      <w:r>
        <w:rPr>
          <w:rFonts w:hint="eastAsia" w:asciiTheme="minorEastAsia" w:hAnsiTheme="minorEastAsia" w:eastAsiaTheme="minorEastAsia" w:cstheme="minorEastAsia"/>
          <w:b/>
          <w:bCs/>
          <w:color w:val="040000"/>
          <w:kern w:val="0"/>
          <w:sz w:val="24"/>
          <w:szCs w:val="24"/>
        </w:rPr>
        <w:t>余套</w:t>
      </w:r>
    </w:p>
    <w:p w14:paraId="0D755FE3">
      <w:pPr>
        <w:widowControl/>
        <w:spacing w:line="405" w:lineRule="atLeast"/>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服务内容：维护维修电动屏幕、幕布电机更换、幕布更换等。</w:t>
      </w:r>
    </w:p>
    <w:p w14:paraId="13099153">
      <w:pPr>
        <w:widowControl/>
        <w:spacing w:line="405" w:lineRule="atLeast"/>
        <w:ind w:firstLine="482" w:firstLineChars="200"/>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5、打印机数量</w:t>
      </w:r>
      <w:r>
        <w:rPr>
          <w:rFonts w:hint="eastAsia" w:asciiTheme="minorEastAsia" w:hAnsiTheme="minorEastAsia" w:eastAsiaTheme="minorEastAsia" w:cstheme="minorEastAsia"/>
          <w:b/>
          <w:bCs/>
          <w:color w:val="000000" w:themeColor="text1"/>
          <w:kern w:val="0"/>
          <w:sz w:val="24"/>
          <w:szCs w:val="24"/>
          <w:lang w:val="en-US" w:eastAsia="zh-CN"/>
          <w14:textFill>
            <w14:solidFill>
              <w14:schemeClr w14:val="tx1"/>
            </w14:solidFill>
          </w14:textFill>
        </w:rPr>
        <w:t>90</w:t>
      </w:r>
      <w:r>
        <w:rPr>
          <w:rFonts w:hint="eastAsia" w:asciiTheme="minorEastAsia" w:hAnsiTheme="minorEastAsia" w:eastAsiaTheme="minorEastAsia" w:cstheme="minorEastAsia"/>
          <w:b/>
          <w:bCs/>
          <w:color w:val="000000" w:themeColor="text1"/>
          <w:kern w:val="0"/>
          <w:sz w:val="24"/>
          <w:szCs w:val="24"/>
          <w14:textFill>
            <w14:solidFill>
              <w14:schemeClr w14:val="tx1"/>
            </w14:solidFill>
          </w14:textFill>
        </w:rPr>
        <w:t>余台</w:t>
      </w:r>
    </w:p>
    <w:p w14:paraId="63769CEE">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服务内容：进纸器维护维修、芯片更换等</w:t>
      </w:r>
    </w:p>
    <w:p w14:paraId="49FB4021">
      <w:pPr>
        <w:widowControl/>
        <w:spacing w:line="405" w:lineRule="atLeast"/>
        <w:ind w:firstLine="482" w:firstLineChars="200"/>
        <w:rPr>
          <w:rFonts w:hint="eastAsia" w:asciiTheme="minorEastAsia" w:hAnsiTheme="minorEastAsia" w:eastAsiaTheme="minorEastAsia" w:cstheme="minorEastAsia"/>
          <w:b/>
          <w:bCs/>
          <w:color w:val="040000"/>
          <w:kern w:val="0"/>
          <w:sz w:val="24"/>
          <w:szCs w:val="24"/>
        </w:rPr>
      </w:pPr>
      <w:r>
        <w:rPr>
          <w:rFonts w:hint="eastAsia" w:asciiTheme="minorEastAsia" w:hAnsiTheme="minorEastAsia" w:eastAsiaTheme="minorEastAsia" w:cstheme="minorEastAsia"/>
          <w:b/>
          <w:bCs/>
          <w:color w:val="040000"/>
          <w:kern w:val="0"/>
          <w:sz w:val="24"/>
          <w:szCs w:val="24"/>
        </w:rPr>
        <w:t>6、会议室设备10组</w:t>
      </w:r>
    </w:p>
    <w:p w14:paraId="082956AD">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服务内容：调音台，功放，电源时序器、话筒等设备的维修维护</w:t>
      </w:r>
    </w:p>
    <w:p w14:paraId="0441DF27">
      <w:pPr>
        <w:widowControl/>
        <w:spacing w:line="405" w:lineRule="atLeast"/>
        <w:ind w:firstLine="480" w:firstLineChars="200"/>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lang w:val="en-US" w:eastAsia="zh-CN"/>
        </w:rPr>
        <w:t>2</w:t>
      </w:r>
      <w:r>
        <w:rPr>
          <w:rFonts w:hint="eastAsia" w:asciiTheme="minorEastAsia" w:hAnsiTheme="minorEastAsia" w:eastAsiaTheme="minorEastAsia" w:cstheme="minorEastAsia"/>
          <w:color w:val="040000"/>
          <w:kern w:val="0"/>
          <w:sz w:val="24"/>
          <w:szCs w:val="24"/>
          <w:lang w:eastAsia="zh-CN"/>
        </w:rPr>
        <w:t>）</w:t>
      </w:r>
      <w:r>
        <w:rPr>
          <w:rFonts w:hint="eastAsia" w:asciiTheme="minorEastAsia" w:hAnsiTheme="minorEastAsia" w:eastAsiaTheme="minorEastAsia" w:cstheme="minorEastAsia"/>
          <w:color w:val="040000"/>
          <w:kern w:val="0"/>
          <w:sz w:val="24"/>
          <w:szCs w:val="24"/>
        </w:rPr>
        <w:t>项目服务要求：</w:t>
      </w:r>
    </w:p>
    <w:p w14:paraId="3C91FB66">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1、在学校正常教学期间，保障校内所有机房内计算机及多媒体设备的稳定运行。</w:t>
      </w:r>
    </w:p>
    <w:p w14:paraId="4770A437">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2、在学校正常教学期间，保障所有公共教室内全部多媒体教学设备（如：投影机、计算机、功放、音箱、屏幕等）的稳定运行。</w:t>
      </w:r>
    </w:p>
    <w:p w14:paraId="57D36046">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3、在学校正常工作期间，保障所有会议室、报告厅内的多媒体设备（调音台、功放、控制设备）等的稳定运行。</w:t>
      </w:r>
    </w:p>
    <w:p w14:paraId="6E2A9FD3">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4、在学校正常工作期间，保障所有办公室的电子办公设备（包括计算机和打印机等）的稳定运行。</w:t>
      </w:r>
    </w:p>
    <w:p w14:paraId="2ECB19EE">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5、在维护、维修期间，保养、检测、检修上述设备及系统，每学期开学前完成一次投影全面除尘工作、电脑系统安装，投影亮度检测、其他设备检修等工作。</w:t>
      </w:r>
    </w:p>
    <w:p w14:paraId="1D2EE8B3">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6、根据学校相关要求规范，进行有关教学系统运维管理配置项调整性工作。如多媒体教学主机系统版本更换等。</w:t>
      </w:r>
    </w:p>
    <w:p w14:paraId="4F86A84D">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7、保障与多媒体教学服务、运维管理、维护维修内容相关的其它事宜。</w:t>
      </w:r>
    </w:p>
    <w:p w14:paraId="5178640A">
      <w:pPr>
        <w:pStyle w:val="8"/>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lang w:val="en-US" w:eastAsia="zh-CN"/>
        </w:rPr>
      </w:pPr>
      <w:r>
        <w:rPr>
          <w:rFonts w:hint="eastAsia" w:asciiTheme="minorEastAsia" w:hAnsiTheme="minorEastAsia" w:eastAsiaTheme="minorEastAsia" w:cstheme="minorEastAsia"/>
          <w:bCs/>
          <w:sz w:val="24"/>
          <w:szCs w:val="24"/>
          <w:lang w:val="en-US" w:eastAsia="zh-CN"/>
        </w:rPr>
        <w:t>三、其它要求</w:t>
      </w:r>
    </w:p>
    <w:p w14:paraId="2443A533">
      <w:pPr>
        <w:pageBreakBefore w:val="0"/>
        <w:widowControl/>
        <w:kinsoku/>
        <w:wordWrap/>
        <w:overflowPunct/>
        <w:topLinePunct w:val="0"/>
        <w:autoSpaceDE/>
        <w:autoSpaceDN/>
        <w:bidi w:val="0"/>
        <w:adjustRightInd w:val="0"/>
        <w:snapToGrid/>
        <w:spacing w:line="420" w:lineRule="exact"/>
        <w:textAlignment w:val="auto"/>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1、供应商在服务范围内的一切工作行为，需遵守学校制订的现行规章制度及相关部门现行规章制度。</w:t>
      </w:r>
    </w:p>
    <w:p w14:paraId="14D10C31">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2、中标人须提供多媒体设备备机2套，以保证相关教学工作正常秩序。</w:t>
      </w:r>
    </w:p>
    <w:p w14:paraId="67B14163">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3、在供应商服务期间，若发生供应商人员人为损坏设备、设施时，采购人可向供应商要求适当赔偿。</w:t>
      </w:r>
    </w:p>
    <w:p w14:paraId="0CFB08B7">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4、</w:t>
      </w:r>
      <w:r>
        <w:rPr>
          <w:rFonts w:hint="eastAsia" w:asciiTheme="minorEastAsia" w:hAnsiTheme="minorEastAsia" w:eastAsiaTheme="minorEastAsia" w:cstheme="minorEastAsia"/>
          <w:color w:val="040000"/>
          <w:kern w:val="0"/>
          <w:sz w:val="24"/>
          <w:szCs w:val="24"/>
          <w:highlight w:val="none"/>
        </w:rPr>
        <w:t>在供应商服务期间需配备1名熟悉投影设备、计算机软硬件工程师在学校值守，</w:t>
      </w:r>
      <w:r>
        <w:rPr>
          <w:rFonts w:hint="eastAsia" w:asciiTheme="minorEastAsia" w:hAnsiTheme="minorEastAsia" w:eastAsiaTheme="minorEastAsia" w:cstheme="minorEastAsia"/>
          <w:color w:val="040000"/>
          <w:kern w:val="0"/>
          <w:sz w:val="24"/>
          <w:szCs w:val="24"/>
        </w:rPr>
        <w:t>接受校方的服务考核与日常管理。按照学校的要求提前20分钟到岗，定期对多媒体设备巡检，及时排除故障，确保多媒体教学设备的正常运转。</w:t>
      </w:r>
    </w:p>
    <w:p w14:paraId="1D1B807D">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5、维修期间若需更换的配件（投影灯泡、内存、硬盘、中控、音响等配件）需学校工作工作人员验收后方可安装调试。</w:t>
      </w:r>
    </w:p>
    <w:p w14:paraId="5F55ADBD">
      <w:pPr>
        <w:widowControl/>
        <w:spacing w:line="405" w:lineRule="atLeast"/>
        <w:rPr>
          <w:rFonts w:hint="eastAsia" w:asciiTheme="minorEastAsia" w:hAnsiTheme="minorEastAsia" w:eastAsiaTheme="minorEastAsia" w:cstheme="minorEastAsia"/>
          <w:color w:val="040000"/>
          <w:kern w:val="0"/>
          <w:sz w:val="29"/>
          <w:szCs w:val="29"/>
        </w:rPr>
      </w:pPr>
      <w:r>
        <w:rPr>
          <w:rFonts w:hint="eastAsia" w:asciiTheme="minorEastAsia" w:hAnsiTheme="minorEastAsia" w:eastAsiaTheme="minorEastAsia" w:cstheme="minorEastAsia"/>
          <w:color w:val="040000"/>
          <w:kern w:val="0"/>
          <w:sz w:val="24"/>
          <w:szCs w:val="24"/>
        </w:rPr>
        <w:t>6、教学系统</w:t>
      </w:r>
      <w:bookmarkStart w:id="70" w:name="OLE_LINK3"/>
      <w:bookmarkEnd w:id="70"/>
      <w:bookmarkStart w:id="71" w:name="OLE_LINK2"/>
      <w:bookmarkEnd w:id="71"/>
      <w:r>
        <w:rPr>
          <w:rFonts w:hint="eastAsia" w:asciiTheme="minorEastAsia" w:hAnsiTheme="minorEastAsia" w:eastAsiaTheme="minorEastAsia" w:cstheme="minorEastAsia"/>
          <w:color w:val="040000"/>
          <w:kern w:val="0"/>
          <w:sz w:val="24"/>
          <w:szCs w:val="24"/>
        </w:rPr>
        <w:t>设备30分钟内现场响应，6小时内修复；特殊情况无法按时恢复的，供应商应予提供代用设备，使业务系统可正常运行。如未能在规定的时间内完成相应服务，作为违约责任，每次扣除项目合同金额的5%。</w:t>
      </w:r>
    </w:p>
    <w:p w14:paraId="0F514010">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7、供应商填报</w:t>
      </w:r>
      <w:r>
        <w:rPr>
          <w:rFonts w:hint="eastAsia" w:asciiTheme="minorEastAsia" w:hAnsiTheme="minorEastAsia" w:eastAsiaTheme="minorEastAsia" w:cstheme="minorEastAsia"/>
          <w:color w:val="040000"/>
          <w:kern w:val="0"/>
          <w:sz w:val="24"/>
          <w:szCs w:val="24"/>
          <w:lang w:val="en-US" w:eastAsia="zh-CN"/>
        </w:rPr>
        <w:t>的</w:t>
      </w:r>
      <w:r>
        <w:rPr>
          <w:rFonts w:hint="eastAsia" w:asciiTheme="minorEastAsia" w:hAnsiTheme="minorEastAsia" w:eastAsiaTheme="minorEastAsia" w:cstheme="minorEastAsia"/>
          <w:b w:val="0"/>
          <w:bCs w:val="0"/>
          <w:color w:val="040000"/>
          <w:kern w:val="0"/>
          <w:sz w:val="24"/>
          <w:szCs w:val="24"/>
        </w:rPr>
        <w:t>报价表</w:t>
      </w:r>
      <w:r>
        <w:rPr>
          <w:rFonts w:hint="eastAsia" w:asciiTheme="minorEastAsia" w:hAnsiTheme="minorEastAsia" w:eastAsiaTheme="minorEastAsia" w:cstheme="minorEastAsia"/>
          <w:color w:val="040000"/>
          <w:kern w:val="0"/>
          <w:sz w:val="24"/>
          <w:szCs w:val="24"/>
        </w:rPr>
        <w:t>，价格含人工安装服务费、税收等其他费用。</w:t>
      </w:r>
    </w:p>
    <w:p w14:paraId="60BFA461">
      <w:pPr>
        <w:widowControl/>
        <w:spacing w:line="405" w:lineRule="atLeast"/>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8、供应商需从事过类似维保服务项目（需提供中标通知书及签订合同的影印件)</w:t>
      </w:r>
    </w:p>
    <w:p w14:paraId="343AE881">
      <w:pPr>
        <w:keepNext w:val="0"/>
        <w:keepLines w:val="0"/>
        <w:pageBreakBefore w:val="0"/>
        <w:widowControl/>
        <w:kinsoku/>
        <w:wordWrap/>
        <w:overflowPunct/>
        <w:topLinePunct w:val="0"/>
        <w:autoSpaceDE/>
        <w:autoSpaceDN/>
        <w:bidi w:val="0"/>
        <w:adjustRightInd w:val="0"/>
        <w:snapToGrid/>
        <w:spacing w:line="420" w:lineRule="atLeast"/>
        <w:textAlignment w:val="auto"/>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color w:val="040000"/>
          <w:kern w:val="0"/>
          <w:sz w:val="24"/>
          <w:szCs w:val="24"/>
        </w:rPr>
        <w:t>9、合同时间：一年。</w:t>
      </w:r>
      <w:bookmarkStart w:id="130" w:name="_GoBack"/>
      <w:bookmarkEnd w:id="130"/>
    </w:p>
    <w:p w14:paraId="0814D78A">
      <w:pPr>
        <w:keepNext w:val="0"/>
        <w:keepLines w:val="0"/>
        <w:pageBreakBefore w:val="0"/>
        <w:widowControl/>
        <w:kinsoku/>
        <w:wordWrap/>
        <w:overflowPunct/>
        <w:topLinePunct w:val="0"/>
        <w:autoSpaceDE/>
        <w:autoSpaceDN/>
        <w:bidi w:val="0"/>
        <w:adjustRightInd w:val="0"/>
        <w:snapToGrid/>
        <w:spacing w:line="420" w:lineRule="atLeast"/>
        <w:ind w:firstLine="482" w:firstLineChars="200"/>
        <w:textAlignment w:val="auto"/>
        <w:rPr>
          <w:rFonts w:hint="eastAsia"/>
          <w:b/>
          <w:bCs w:val="0"/>
          <w:sz w:val="24"/>
          <w:szCs w:val="24"/>
          <w:lang w:val="en-US" w:eastAsia="zh-CN"/>
        </w:rPr>
      </w:pPr>
      <w:r>
        <w:rPr>
          <w:rFonts w:hint="eastAsia"/>
          <w:b/>
          <w:bCs w:val="0"/>
          <w:sz w:val="24"/>
          <w:szCs w:val="24"/>
          <w:lang w:val="en-US" w:eastAsia="zh-CN"/>
        </w:rPr>
        <w:t>四、报价要求</w:t>
      </w:r>
    </w:p>
    <w:p w14:paraId="12BE9C95">
      <w:pPr>
        <w:keepNext w:val="0"/>
        <w:keepLines w:val="0"/>
        <w:pageBreakBefore w:val="0"/>
        <w:widowControl/>
        <w:kinsoku/>
        <w:wordWrap/>
        <w:overflowPunct/>
        <w:topLinePunct w:val="0"/>
        <w:autoSpaceDE/>
        <w:autoSpaceDN/>
        <w:bidi w:val="0"/>
        <w:adjustRightInd w:val="0"/>
        <w:snapToGrid/>
        <w:spacing w:line="420" w:lineRule="atLeast"/>
        <w:ind w:firstLine="480" w:firstLineChars="200"/>
        <w:textAlignment w:val="auto"/>
        <w:rPr>
          <w:rFonts w:hint="default"/>
          <w:b w:val="0"/>
          <w:bCs/>
          <w:sz w:val="24"/>
          <w:szCs w:val="24"/>
          <w:lang w:val="en-US" w:eastAsia="zh-CN"/>
        </w:rPr>
      </w:pPr>
      <w:r>
        <w:rPr>
          <w:rFonts w:hint="default"/>
          <w:b w:val="0"/>
          <w:bCs/>
          <w:sz w:val="24"/>
          <w:szCs w:val="24"/>
          <w:lang w:val="en-US" w:eastAsia="zh-CN"/>
        </w:rPr>
        <w:t>维修维护服务报价表，总计金额=维修总价+维护总价,其中维修总价默认为项目预算总价的30%，维护总价为项目预算总价的70%。维修总价包括设备维修费用和需要购置的配件费用。配件购置，需要原装或大品牌的，并经网络中心相关老师确认，以保证配件质量。</w:t>
      </w: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3"/>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（提供查询截图并加盖公章）</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2" w:name="_Toc7241"/>
      <w:bookmarkStart w:id="73" w:name="_Toc431"/>
      <w:bookmarkStart w:id="74" w:name="_Toc3977"/>
      <w:bookmarkStart w:id="75" w:name="_Toc27586"/>
      <w:bookmarkStart w:id="76" w:name="_Toc28300"/>
      <w:bookmarkStart w:id="77" w:name="_Toc54941340"/>
      <w:bookmarkStart w:id="78" w:name="_Toc10569"/>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3328002A">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2"/>
      <w:bookmarkEnd w:id="73"/>
      <w:bookmarkEnd w:id="74"/>
      <w:bookmarkEnd w:id="75"/>
      <w:bookmarkEnd w:id="76"/>
      <w:r>
        <w:rPr>
          <w:rFonts w:hint="eastAsia" w:ascii="宋体" w:hAnsi="宋体" w:cs="宋体"/>
          <w:b w:val="0"/>
          <w:bCs/>
          <w:color w:val="auto"/>
          <w:szCs w:val="21"/>
          <w:highlight w:val="none"/>
          <w:lang w:val="en-US" w:eastAsia="zh-CN"/>
        </w:rPr>
        <w:t>。</w:t>
      </w:r>
    </w:p>
    <w:bookmarkEnd w:id="77"/>
    <w:bookmarkEnd w:id="78"/>
    <w:p w14:paraId="66413BFD">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7349DC9C">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lang w:val="en-US" w:eastAsia="zh-CN"/>
        </w:rPr>
        <w:t>服务</w:t>
      </w:r>
      <w:r>
        <w:rPr>
          <w:rFonts w:hint="eastAsia" w:asciiTheme="minorEastAsia" w:hAnsiTheme="minorEastAsia" w:eastAsiaTheme="minorEastAsia"/>
          <w:b/>
          <w:color w:val="auto"/>
          <w:sz w:val="28"/>
          <w:szCs w:val="28"/>
          <w:highlight w:val="none"/>
        </w:rPr>
        <w:t>类合同条款</w:t>
      </w:r>
    </w:p>
    <w:p w14:paraId="1BD3CD70">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6113C27">
      <w:pPr>
        <w:spacing w:line="480" w:lineRule="auto"/>
        <w:jc w:val="center"/>
        <w:rPr>
          <w:rFonts w:asciiTheme="minorEastAsia" w:hAnsiTheme="minorEastAsia" w:eastAsiaTheme="minorEastAsia"/>
          <w:b/>
          <w:color w:val="auto"/>
          <w:sz w:val="24"/>
          <w:highlight w:val="none"/>
        </w:rPr>
      </w:pPr>
    </w:p>
    <w:p w14:paraId="4BD61393">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066B6A0B">
      <w:pPr>
        <w:spacing w:before="120" w:line="480" w:lineRule="auto"/>
        <w:ind w:left="960"/>
        <w:rPr>
          <w:rFonts w:asciiTheme="minorEastAsia" w:hAnsiTheme="minorEastAsia" w:eastAsiaTheme="minorEastAsia"/>
          <w:color w:val="auto"/>
          <w:sz w:val="24"/>
          <w:highlight w:val="none"/>
        </w:rPr>
      </w:pPr>
    </w:p>
    <w:p w14:paraId="38B95531">
      <w:pPr>
        <w:spacing w:before="120" w:line="480" w:lineRule="auto"/>
        <w:ind w:left="960"/>
        <w:rPr>
          <w:rFonts w:asciiTheme="minorEastAsia" w:hAnsiTheme="minorEastAsia" w:eastAsiaTheme="minorEastAsia"/>
          <w:color w:val="auto"/>
          <w:sz w:val="24"/>
          <w:highlight w:val="none"/>
        </w:rPr>
      </w:pPr>
    </w:p>
    <w:p w14:paraId="4789B126">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0D625C2">
      <w:pPr>
        <w:spacing w:before="120" w:line="480" w:lineRule="auto"/>
        <w:ind w:left="960"/>
        <w:rPr>
          <w:rFonts w:asciiTheme="minorEastAsia" w:hAnsiTheme="minorEastAsia" w:eastAsiaTheme="minorEastAsia"/>
          <w:color w:val="auto"/>
          <w:sz w:val="24"/>
          <w:highlight w:val="none"/>
        </w:rPr>
      </w:pPr>
    </w:p>
    <w:p w14:paraId="377968F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49050E28">
      <w:pPr>
        <w:spacing w:before="120" w:line="480" w:lineRule="auto"/>
        <w:ind w:firstLine="960" w:firstLineChars="400"/>
        <w:rPr>
          <w:rFonts w:asciiTheme="minorEastAsia" w:hAnsiTheme="minorEastAsia" w:eastAsiaTheme="minorEastAsia"/>
          <w:color w:val="auto"/>
          <w:sz w:val="24"/>
          <w:highlight w:val="none"/>
        </w:rPr>
      </w:pPr>
    </w:p>
    <w:p w14:paraId="3A2B1889">
      <w:pPr>
        <w:spacing w:before="120" w:line="480" w:lineRule="auto"/>
        <w:rPr>
          <w:rFonts w:asciiTheme="minorEastAsia" w:hAnsiTheme="minorEastAsia" w:eastAsiaTheme="minorEastAsia"/>
          <w:color w:val="auto"/>
          <w:sz w:val="24"/>
          <w:highlight w:val="none"/>
        </w:rPr>
      </w:pPr>
    </w:p>
    <w:p w14:paraId="626B5402">
      <w:pPr>
        <w:pStyle w:val="8"/>
        <w:tabs>
          <w:tab w:val="left" w:pos="2730"/>
        </w:tabs>
        <w:rPr>
          <w:rFonts w:asciiTheme="minorEastAsia" w:hAnsiTheme="minorEastAsia" w:eastAsiaTheme="minorEastAsia"/>
          <w:color w:val="auto"/>
          <w:sz w:val="24"/>
          <w:highlight w:val="none"/>
        </w:rPr>
      </w:pPr>
    </w:p>
    <w:p w14:paraId="09CFA85C">
      <w:pPr>
        <w:rPr>
          <w:color w:val="auto"/>
          <w:highlight w:val="none"/>
        </w:rPr>
      </w:pPr>
    </w:p>
    <w:p w14:paraId="125609DF">
      <w:pPr>
        <w:spacing w:before="120" w:line="480" w:lineRule="auto"/>
        <w:ind w:firstLine="960" w:firstLineChars="400"/>
        <w:rPr>
          <w:rFonts w:asciiTheme="minorEastAsia" w:hAnsiTheme="minorEastAsia" w:eastAsiaTheme="minorEastAsia"/>
          <w:color w:val="auto"/>
          <w:sz w:val="24"/>
          <w:highlight w:val="none"/>
        </w:rPr>
      </w:pPr>
    </w:p>
    <w:p w14:paraId="2548997F">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4C22349C">
      <w:pPr>
        <w:spacing w:before="120" w:line="480" w:lineRule="auto"/>
        <w:ind w:firstLine="960" w:firstLineChars="400"/>
        <w:rPr>
          <w:rFonts w:asciiTheme="minorEastAsia" w:hAnsiTheme="minorEastAsia" w:eastAsiaTheme="minorEastAsia"/>
          <w:color w:val="auto"/>
          <w:sz w:val="24"/>
          <w:highlight w:val="none"/>
        </w:rPr>
      </w:pPr>
    </w:p>
    <w:p w14:paraId="67F8E1F3">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08FFC1E">
      <w:pPr>
        <w:spacing w:line="360" w:lineRule="auto"/>
        <w:rPr>
          <w:rFonts w:hint="eastAsia" w:asciiTheme="minorEastAsia" w:hAnsiTheme="minorEastAsia" w:eastAsiaTheme="minorEastAsia"/>
          <w:color w:val="auto"/>
          <w:sz w:val="24"/>
          <w:highlight w:val="none"/>
        </w:rPr>
      </w:pPr>
    </w:p>
    <w:p w14:paraId="4A84E709">
      <w:pPr>
        <w:pStyle w:val="55"/>
        <w:rPr>
          <w:rFonts w:hint="eastAsia"/>
        </w:rPr>
      </w:pPr>
    </w:p>
    <w:p w14:paraId="3343DAC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7839AE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79" w:name="_Toc24059"/>
      <w:bookmarkStart w:id="80" w:name="_Toc3029"/>
      <w:bookmarkStart w:id="81"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9"/>
      <w:bookmarkEnd w:id="80"/>
      <w:bookmarkEnd w:id="81"/>
    </w:p>
    <w:p w14:paraId="1197646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7B2661E">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7B1DEC5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30E1EEE7">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7399BCD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AB1D70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7AED4ADC">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hint="eastAsia" w:asciiTheme="minorEastAsia" w:hAnsiTheme="minorEastAsia" w:eastAsiaTheme="minorEastAsia"/>
          <w:b/>
          <w:bCs/>
          <w:color w:val="auto"/>
          <w:sz w:val="24"/>
          <w:highlight w:val="none"/>
          <w:lang w:val="zh-CN"/>
        </w:rPr>
      </w:pPr>
      <w:bookmarkStart w:id="82" w:name="_Toc21295"/>
      <w:bookmarkStart w:id="83" w:name="_Toc24300"/>
      <w:bookmarkStart w:id="84" w:name="_Toc27126"/>
      <w:bookmarkStart w:id="85" w:name="_Toc21551"/>
      <w:bookmarkStart w:id="86" w:name="_Toc21631"/>
      <w:bookmarkStart w:id="87" w:name="_Toc23292"/>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bookmarkEnd w:id="82"/>
      <w:bookmarkEnd w:id="83"/>
      <w:bookmarkEnd w:id="84"/>
      <w:r>
        <w:rPr>
          <w:rFonts w:hint="eastAsia" w:asciiTheme="minorEastAsia" w:hAnsiTheme="minorEastAsia" w:eastAsiaTheme="minorEastAsia"/>
          <w:b/>
          <w:bCs/>
          <w:color w:val="auto"/>
          <w:sz w:val="24"/>
          <w:highlight w:val="none"/>
          <w:lang w:val="zh-CN"/>
        </w:rPr>
        <w:t>服务</w:t>
      </w:r>
    </w:p>
    <w:p w14:paraId="60DF9B3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1.2.1服务</w:t>
      </w:r>
      <w:r>
        <w:rPr>
          <w:rFonts w:ascii="宋体" w:hAnsi="宋体" w:eastAsia="宋体"/>
          <w:color w:val="auto"/>
          <w:sz w:val="24"/>
          <w:highlight w:val="none"/>
        </w:rPr>
        <w:t>名称：</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74CC491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宋体" w:hAnsi="宋体" w:eastAsia="宋体"/>
          <w:color w:val="auto"/>
          <w:sz w:val="24"/>
          <w:highlight w:val="none"/>
          <w:u w:val="single"/>
        </w:rPr>
      </w:pPr>
      <w:r>
        <w:rPr>
          <w:rFonts w:hint="eastAsia" w:ascii="宋体" w:hAnsi="宋体" w:eastAsia="宋体"/>
          <w:color w:val="auto"/>
          <w:sz w:val="24"/>
          <w:highlight w:val="none"/>
        </w:rPr>
        <w:t>1.2.2服务内容</w:t>
      </w:r>
      <w:r>
        <w:rPr>
          <w:rFonts w:ascii="宋体" w:hAnsi="宋体" w:eastAsia="宋体"/>
          <w:color w:val="auto"/>
          <w:sz w:val="24"/>
          <w:highlight w:val="none"/>
        </w:rPr>
        <w:t>：</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05F7DF0">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color w:val="auto"/>
          <w:highlight w:val="none"/>
          <w:lang w:val="zh-CN"/>
        </w:rPr>
      </w:pPr>
      <w:r>
        <w:rPr>
          <w:rFonts w:hint="eastAsia" w:ascii="宋体" w:hAnsi="宋体" w:eastAsia="宋体"/>
          <w:color w:val="auto"/>
          <w:sz w:val="24"/>
          <w:highlight w:val="none"/>
        </w:rPr>
        <w:t>1.2.3服务质量：</w:t>
      </w:r>
      <w:r>
        <w:rPr>
          <w:rFonts w:hint="eastAsia" w:ascii="宋体" w:hAnsi="宋体" w:eastAsia="宋体"/>
          <w:color w:val="auto"/>
          <w:sz w:val="24"/>
          <w:highlight w:val="none"/>
          <w:u w:val="single"/>
        </w:rPr>
        <w:t xml:space="preserve">                                                </w:t>
      </w:r>
      <w:r>
        <w:rPr>
          <w:rFonts w:hint="eastAsia" w:ascii="宋体" w:hAnsi="宋体" w:eastAsia="宋体"/>
          <w:color w:val="auto"/>
          <w:sz w:val="24"/>
          <w:highlight w:val="none"/>
        </w:rPr>
        <w:t>。</w:t>
      </w:r>
    </w:p>
    <w:p w14:paraId="3682C1EF">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5"/>
      <w:bookmarkEnd w:id="86"/>
      <w:bookmarkEnd w:id="87"/>
    </w:p>
    <w:p w14:paraId="6B6E04A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3CAC4A4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245C2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1508C0E4">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2DBAD75B">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172F98D3">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6DBC6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43BBA2D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7790B1C">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8DE8606">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8B9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799BE942">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57CD9338">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2E0746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062D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D33AB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1ADB9010">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28AB6399">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112A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E944061">
            <w:pPr>
              <w:keepNext w:val="0"/>
              <w:keepLines w:val="0"/>
              <w:pageBreakBefore w:val="0"/>
              <w:widowControl w:val="0"/>
              <w:kinsoku/>
              <w:wordWrap/>
              <w:overflowPunct/>
              <w:topLinePunct w:val="0"/>
              <w:autoSpaceDE/>
              <w:autoSpaceDN/>
              <w:bidi w:val="0"/>
              <w:adjustRightInd w:val="0"/>
              <w:snapToGrid/>
              <w:spacing w:line="420" w:lineRule="exact"/>
              <w:jc w:val="center"/>
              <w:textAlignment w:val="auto"/>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ACE551D">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c>
          <w:tcPr>
            <w:tcW w:w="3368" w:type="dxa"/>
            <w:gridSpan w:val="2"/>
            <w:vAlign w:val="center"/>
          </w:tcPr>
          <w:p w14:paraId="5C6FEF9E">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r w14:paraId="46050C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75D314CF">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49843DA5">
            <w:pPr>
              <w:keepNext w:val="0"/>
              <w:keepLines w:val="0"/>
              <w:pageBreakBefore w:val="0"/>
              <w:widowControl w:val="0"/>
              <w:kinsoku/>
              <w:wordWrap/>
              <w:overflowPunct/>
              <w:topLinePunct w:val="0"/>
              <w:autoSpaceDE/>
              <w:autoSpaceDN/>
              <w:bidi w:val="0"/>
              <w:adjustRightInd w:val="0"/>
              <w:snapToGrid/>
              <w:spacing w:line="420" w:lineRule="exact"/>
              <w:ind w:firstLine="200"/>
              <w:jc w:val="center"/>
              <w:textAlignment w:val="auto"/>
              <w:rPr>
                <w:rFonts w:asciiTheme="minorEastAsia" w:hAnsiTheme="minorEastAsia" w:eastAsiaTheme="minorEastAsia"/>
                <w:color w:val="auto"/>
                <w:sz w:val="24"/>
                <w:highlight w:val="none"/>
              </w:rPr>
            </w:pPr>
          </w:p>
        </w:tc>
      </w:tr>
    </w:tbl>
    <w:p w14:paraId="1587378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88" w:name="_Toc22618"/>
      <w:bookmarkStart w:id="89" w:name="_Toc10340"/>
      <w:bookmarkStart w:id="90"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8"/>
      <w:bookmarkEnd w:id="89"/>
      <w:bookmarkEnd w:id="90"/>
    </w:p>
    <w:p w14:paraId="169ADDC8">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89794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90233E3">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1" w:name="_Toc2846"/>
      <w:bookmarkStart w:id="92" w:name="_Toc32071"/>
      <w:bookmarkStart w:id="93" w:name="_Toc1930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5 </w:t>
      </w:r>
      <w:r>
        <w:rPr>
          <w:rFonts w:hint="eastAsia" w:asciiTheme="minorEastAsia" w:hAnsiTheme="minorEastAsia" w:eastAsiaTheme="minorEastAsia"/>
          <w:b/>
          <w:bCs/>
          <w:color w:val="auto"/>
          <w:sz w:val="24"/>
          <w:highlight w:val="none"/>
          <w:lang w:val="en-US" w:eastAsia="zh-CN"/>
        </w:rPr>
        <w:t>服务</w:t>
      </w:r>
      <w:r>
        <w:rPr>
          <w:rFonts w:asciiTheme="minorEastAsia" w:hAnsiTheme="minorEastAsia" w:eastAsiaTheme="minorEastAsia"/>
          <w:b/>
          <w:bCs/>
          <w:color w:val="auto"/>
          <w:sz w:val="24"/>
          <w:highlight w:val="none"/>
          <w:lang w:val="zh-CN"/>
        </w:rPr>
        <w:t>期限</w:t>
      </w:r>
      <w:r>
        <w:rPr>
          <w:rFonts w:hint="eastAsia" w:asciiTheme="minorEastAsia" w:hAnsiTheme="minorEastAsia" w:eastAsiaTheme="minorEastAsia"/>
          <w:b/>
          <w:bCs/>
          <w:color w:val="auto"/>
          <w:sz w:val="24"/>
          <w:highlight w:val="none"/>
          <w:lang w:val="zh-CN"/>
        </w:rPr>
        <w:t>、地点</w:t>
      </w:r>
      <w:bookmarkEnd w:id="91"/>
      <w:bookmarkEnd w:id="92"/>
      <w:bookmarkEnd w:id="93"/>
    </w:p>
    <w:p w14:paraId="4D065FF5">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55A918A">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w:t>
      </w:r>
      <w:r>
        <w:rPr>
          <w:rFonts w:hint="eastAsia" w:asciiTheme="minorEastAsia" w:hAnsiTheme="minorEastAsia" w:eastAsiaTheme="minorEastAsia"/>
          <w:color w:val="auto"/>
          <w:sz w:val="24"/>
          <w:highlight w:val="none"/>
          <w:lang w:val="en-US" w:eastAsia="zh-CN"/>
        </w:rPr>
        <w:t>服务</w:t>
      </w:r>
      <w:r>
        <w:rPr>
          <w:rFonts w:hint="eastAsia" w:asciiTheme="minorEastAsia" w:hAnsiTheme="minorEastAsia" w:eastAsiaTheme="minorEastAsia"/>
          <w:color w:val="auto"/>
          <w:sz w:val="24"/>
          <w:highlight w:val="none"/>
        </w:rPr>
        <w:t>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6FB1DE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b/>
          <w:bCs/>
          <w:color w:val="auto"/>
          <w:sz w:val="24"/>
          <w:highlight w:val="none"/>
          <w:lang w:val="zh-CN"/>
        </w:rPr>
      </w:pPr>
      <w:bookmarkStart w:id="94" w:name="_Toc19554"/>
      <w:bookmarkStart w:id="95" w:name="_Toc27250"/>
      <w:bookmarkStart w:id="96" w:name="_Toc21423"/>
      <w:r>
        <w:rPr>
          <w:rFonts w:hint="eastAsia" w:asciiTheme="minorEastAsia" w:hAnsiTheme="minorEastAsia" w:eastAsiaTheme="minorEastAsia"/>
          <w:color w:val="auto"/>
          <w:sz w:val="24"/>
          <w:highlight w:val="none"/>
        </w:rPr>
        <w:t>1.5.3</w:t>
      </w:r>
      <w:r>
        <w:rPr>
          <w:rFonts w:hint="eastAsia" w:asciiTheme="minorEastAsia" w:hAnsiTheme="minorEastAsia" w:eastAsiaTheme="minorEastAsia"/>
          <w:color w:val="auto"/>
          <w:sz w:val="24"/>
          <w:highlight w:val="none"/>
          <w:lang w:eastAsia="zh-CN"/>
        </w:rPr>
        <w:t>服务</w:t>
      </w:r>
      <w:r>
        <w:rPr>
          <w:rFonts w:hint="eastAsia" w:asciiTheme="minorEastAsia" w:hAnsiTheme="minorEastAsia" w:eastAsiaTheme="minorEastAsia"/>
          <w:color w:val="auto"/>
          <w:sz w:val="24"/>
          <w:highlight w:val="none"/>
        </w:rPr>
        <w:t>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46CFC6B">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1.6 违约责任</w:t>
      </w:r>
      <w:bookmarkEnd w:id="94"/>
      <w:bookmarkEnd w:id="95"/>
      <w:bookmarkEnd w:id="96"/>
    </w:p>
    <w:p w14:paraId="2F8A34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hint="eastAsia"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rPr>
        <w:t>1.6.1除不可抗力外，如果乙方没有按照本合同约定的期限、地点和方式履行，那么甲方可要求乙方支付违约金，违约金按每迟延履行一日的应提供而未提供服务价格的    %计算，最高限额为本合同总价的     %；迟延履行的违约金计算数额达到前述最高限额之日起，甲方有权在要求乙方支付违约金的同时，书面通知乙方解除本合同；</w:t>
      </w:r>
      <w:r>
        <w:rPr>
          <w:rFonts w:hint="eastAsia" w:asciiTheme="minorEastAsia" w:hAnsiTheme="minorEastAsia" w:eastAsiaTheme="minorEastAsia"/>
          <w:color w:val="auto"/>
          <w:sz w:val="24"/>
          <w:highlight w:val="none"/>
          <w:lang w:val="en-US" w:eastAsia="zh-CN"/>
        </w:rPr>
        <w:t xml:space="preserve"> </w:t>
      </w:r>
    </w:p>
    <w:p w14:paraId="7C8B76F6">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ABFF5E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254CC7F">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31D779DB">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083D5A61">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97" w:name="_Toc16021"/>
      <w:bookmarkStart w:id="98" w:name="_Toc15583"/>
      <w:bookmarkStart w:id="99"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7"/>
      <w:bookmarkEnd w:id="98"/>
      <w:bookmarkEnd w:id="99"/>
    </w:p>
    <w:p w14:paraId="4BFD9BAD">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本合同如发生争议，买卖双方应当及时协商解决，协商不成时，按以下第（①）项方式处理：①根据《中华人民共和国仲裁法》的规定向安庆仲裁委员会申请仲裁。②向____人民法院起诉。</w:t>
      </w:r>
    </w:p>
    <w:p w14:paraId="56CE199E">
      <w:pPr>
        <w:keepNext w:val="0"/>
        <w:keepLines w:val="0"/>
        <w:pageBreakBefore w:val="0"/>
        <w:widowControl w:val="0"/>
        <w:kinsoku/>
        <w:wordWrap/>
        <w:overflowPunct/>
        <w:topLinePunct w:val="0"/>
        <w:autoSpaceDE/>
        <w:autoSpaceDN/>
        <w:bidi w:val="0"/>
        <w:adjustRightInd w:val="0"/>
        <w:snapToGrid/>
        <w:spacing w:line="420" w:lineRule="exact"/>
        <w:ind w:firstLine="437"/>
        <w:textAlignment w:val="auto"/>
        <w:outlineLvl w:val="3"/>
        <w:rPr>
          <w:rFonts w:asciiTheme="minorEastAsia" w:hAnsiTheme="minorEastAsia" w:eastAsiaTheme="minorEastAsia"/>
          <w:b/>
          <w:bCs/>
          <w:color w:val="auto"/>
          <w:sz w:val="24"/>
          <w:highlight w:val="none"/>
          <w:lang w:val="zh-CN"/>
        </w:rPr>
      </w:pPr>
      <w:bookmarkStart w:id="100" w:name="_Toc7245"/>
      <w:bookmarkStart w:id="101" w:name="_Toc11173"/>
      <w:bookmarkStart w:id="102" w:name="_Toc15322"/>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0"/>
      <w:bookmarkEnd w:id="101"/>
      <w:bookmarkEnd w:id="102"/>
    </w:p>
    <w:p w14:paraId="36C0D08C">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588A9F33">
      <w:pPr>
        <w:keepNext w:val="0"/>
        <w:keepLines w:val="0"/>
        <w:pageBreakBefore w:val="0"/>
        <w:widowControl w:val="0"/>
        <w:kinsoku/>
        <w:wordWrap/>
        <w:overflowPunct/>
        <w:topLinePunct w:val="0"/>
        <w:autoSpaceDE/>
        <w:autoSpaceDN/>
        <w:bidi w:val="0"/>
        <w:adjustRightInd w:val="0"/>
        <w:snapToGrid/>
        <w:spacing w:line="420" w:lineRule="exact"/>
        <w:ind w:firstLine="435"/>
        <w:textAlignment w:val="auto"/>
        <w:rPr>
          <w:rFonts w:asciiTheme="minorEastAsia" w:hAnsiTheme="minorEastAsia" w:eastAsiaTheme="minorEastAsia"/>
          <w:color w:val="auto"/>
          <w:sz w:val="24"/>
          <w:highlight w:val="none"/>
          <w:lang w:val="zh-CN"/>
        </w:rPr>
      </w:pPr>
    </w:p>
    <w:p w14:paraId="590F7EAD">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0FDF8E">
      <w:pPr>
        <w:widowControl/>
        <w:spacing w:line="560" w:lineRule="exact"/>
        <w:jc w:val="left"/>
        <w:rPr>
          <w:rFonts w:hint="eastAsia" w:asciiTheme="minorEastAsia" w:hAnsiTheme="minorEastAsia" w:eastAsiaTheme="minorEastAsia"/>
          <w:bCs/>
          <w:color w:val="auto"/>
          <w:sz w:val="24"/>
          <w:highlight w:val="none"/>
        </w:rPr>
      </w:pPr>
    </w:p>
    <w:p w14:paraId="1D1C0B06">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50CC2E07">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103" w:name="_Toc439316880"/>
      <w:bookmarkStart w:id="104" w:name="_Toc8981"/>
      <w:bookmarkStart w:id="105" w:name="_Toc54941341"/>
      <w:bookmarkStart w:id="106" w:name="_Toc1812"/>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7" w:name="_Toc417656001"/>
      <w:r>
        <w:rPr>
          <w:rFonts w:hint="eastAsia" w:ascii="Arial" w:hAnsi="Arial"/>
          <w:color w:val="auto"/>
          <w:kern w:val="2"/>
          <w:sz w:val="36"/>
          <w:szCs w:val="36"/>
          <w:highlight w:val="none"/>
        </w:rPr>
        <w:t>响应文件格式</w:t>
      </w:r>
      <w:bookmarkEnd w:id="103"/>
      <w:bookmarkEnd w:id="104"/>
      <w:bookmarkEnd w:id="105"/>
      <w:bookmarkEnd w:id="106"/>
      <w:bookmarkEnd w:id="107"/>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55"/>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55"/>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55"/>
        <w:rPr>
          <w:rFonts w:ascii="宋体" w:hAnsi="宋体" w:cs="宋体"/>
          <w:color w:val="auto"/>
          <w:sz w:val="24"/>
          <w:highlight w:val="none"/>
        </w:rPr>
      </w:pPr>
    </w:p>
    <w:p w14:paraId="18BCD6FA">
      <w:pPr>
        <w:pStyle w:val="55"/>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8" w:name="_Hlk44287576"/>
      <w:r>
        <w:rPr>
          <w:rFonts w:hint="eastAsia" w:ascii="宋体" w:hAnsi="宋体" w:eastAsia="宋体"/>
          <w:color w:val="auto"/>
          <w:sz w:val="24"/>
          <w:highlight w:val="none"/>
        </w:rPr>
        <w:t>竞争性谈判公告</w:t>
      </w:r>
      <w:bookmarkEnd w:id="108"/>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55"/>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2"/>
        <w:tabs>
          <w:tab w:val="left" w:pos="5580"/>
        </w:tabs>
        <w:spacing w:line="480" w:lineRule="auto"/>
        <w:ind w:firstLine="3570" w:firstLineChars="1700"/>
        <w:rPr>
          <w:rFonts w:hint="eastAsia" w:hAnsi="宋体" w:cs="宋体"/>
          <w:color w:val="auto"/>
          <w:highlight w:val="none"/>
        </w:rPr>
      </w:pPr>
    </w:p>
    <w:p w14:paraId="5B76CB0B">
      <w:pPr>
        <w:pStyle w:val="22"/>
        <w:tabs>
          <w:tab w:val="left" w:pos="5580"/>
        </w:tabs>
        <w:spacing w:line="480" w:lineRule="auto"/>
        <w:rPr>
          <w:rFonts w:hint="eastAsia" w:hAnsi="宋体" w:cs="宋体"/>
          <w:color w:val="auto"/>
          <w:highlight w:val="none"/>
        </w:rPr>
      </w:pPr>
    </w:p>
    <w:p w14:paraId="6ED911BB">
      <w:pPr>
        <w:pStyle w:val="22"/>
        <w:tabs>
          <w:tab w:val="left" w:pos="5580"/>
        </w:tabs>
        <w:spacing w:line="480" w:lineRule="auto"/>
        <w:rPr>
          <w:rFonts w:hint="eastAsia" w:hAnsi="宋体" w:cs="宋体"/>
          <w:color w:val="auto"/>
          <w:highlight w:val="none"/>
        </w:rPr>
      </w:pPr>
    </w:p>
    <w:p w14:paraId="0FB3E3E0">
      <w:pPr>
        <w:pStyle w:val="8"/>
        <w:numPr>
          <w:ilvl w:val="0"/>
          <w:numId w:val="0"/>
        </w:numPr>
        <w:tabs>
          <w:tab w:val="left" w:pos="2730"/>
        </w:tabs>
        <w:jc w:val="center"/>
        <w:rPr>
          <w:rFonts w:cs="宋体"/>
          <w:color w:val="auto"/>
          <w:sz w:val="28"/>
          <w:szCs w:val="28"/>
          <w:highlight w:val="none"/>
        </w:rPr>
      </w:pPr>
      <w:bookmarkStart w:id="109" w:name="_Toc476584434"/>
      <w:bookmarkStart w:id="110" w:name="_Toc54941343"/>
      <w:bookmarkStart w:id="111" w:name="_Toc28034"/>
      <w:bookmarkStart w:id="112" w:name="_Toc28153"/>
      <w:bookmarkStart w:id="113" w:name="_Toc32647"/>
      <w:bookmarkStart w:id="114"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9"/>
      <w:bookmarkEnd w:id="110"/>
      <w:bookmarkEnd w:id="111"/>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8"/>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55"/>
        <w:rPr>
          <w:rFonts w:hint="eastAsia" w:hAnsi="宋体" w:cs="宋体"/>
          <w:color w:val="auto"/>
          <w:sz w:val="28"/>
          <w:szCs w:val="28"/>
          <w:highlight w:val="none"/>
          <w:lang w:val="en-US" w:eastAsia="zh-CN"/>
        </w:rPr>
      </w:pPr>
    </w:p>
    <w:p w14:paraId="30D52F43">
      <w:pPr>
        <w:pStyle w:val="8"/>
        <w:numPr>
          <w:ilvl w:val="0"/>
          <w:numId w:val="0"/>
        </w:numPr>
        <w:shd w:val="clear" w:color="auto" w:fill="FFFFFF"/>
        <w:tabs>
          <w:tab w:val="left" w:pos="2730"/>
        </w:tabs>
        <w:jc w:val="both"/>
        <w:rPr>
          <w:rFonts w:hint="eastAsia" w:cs="宋体"/>
          <w:color w:val="auto"/>
          <w:sz w:val="28"/>
          <w:szCs w:val="28"/>
          <w:highlight w:val="none"/>
          <w:lang w:val="en-US" w:eastAsia="zh-CN"/>
        </w:rPr>
      </w:pPr>
    </w:p>
    <w:p w14:paraId="0059FFB9">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2"/>
    <w:bookmarkEnd w:id="113"/>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39"/>
        <w:tblW w:w="496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
        <w:gridCol w:w="3676"/>
        <w:gridCol w:w="1148"/>
        <w:gridCol w:w="1843"/>
        <w:gridCol w:w="1696"/>
      </w:tblGrid>
      <w:tr w14:paraId="736C7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jc w:val="center"/>
        </w:trPr>
        <w:tc>
          <w:tcPr>
            <w:tcW w:w="462" w:type="pct"/>
            <w:vAlign w:val="center"/>
          </w:tcPr>
          <w:p w14:paraId="5CFC385D">
            <w:pPr>
              <w:jc w:val="center"/>
              <w:rPr>
                <w:rFonts w:ascii="宋体" w:hAnsi="宋体" w:eastAsia="宋体"/>
                <w:b/>
                <w:color w:val="auto"/>
                <w:sz w:val="24"/>
                <w:highlight w:val="none"/>
              </w:rPr>
            </w:pPr>
            <w:r>
              <w:rPr>
                <w:rFonts w:hint="eastAsia" w:ascii="宋体" w:hAnsi="宋体" w:eastAsia="宋体"/>
                <w:b/>
                <w:color w:val="auto"/>
                <w:sz w:val="24"/>
                <w:highlight w:val="none"/>
              </w:rPr>
              <w:t>序号</w:t>
            </w:r>
          </w:p>
        </w:tc>
        <w:tc>
          <w:tcPr>
            <w:tcW w:w="1994" w:type="pct"/>
            <w:vAlign w:val="center"/>
          </w:tcPr>
          <w:p w14:paraId="7820092E">
            <w:pPr>
              <w:jc w:val="center"/>
              <w:rPr>
                <w:rFonts w:ascii="宋体" w:hAnsi="宋体" w:eastAsia="宋体"/>
                <w:b/>
                <w:color w:val="auto"/>
                <w:sz w:val="24"/>
                <w:highlight w:val="none"/>
              </w:rPr>
            </w:pPr>
            <w:r>
              <w:rPr>
                <w:rFonts w:hint="eastAsia" w:ascii="宋体" w:hAnsi="宋体" w:eastAsia="宋体"/>
                <w:b/>
                <w:color w:val="auto"/>
                <w:sz w:val="24"/>
                <w:highlight w:val="none"/>
              </w:rPr>
              <w:t>服务内容</w:t>
            </w:r>
          </w:p>
        </w:tc>
        <w:tc>
          <w:tcPr>
            <w:tcW w:w="623" w:type="pct"/>
            <w:vAlign w:val="center"/>
          </w:tcPr>
          <w:p w14:paraId="17A73741">
            <w:pPr>
              <w:jc w:val="center"/>
              <w:rPr>
                <w:rFonts w:ascii="宋体" w:hAnsi="宋体" w:eastAsia="宋体"/>
                <w:b/>
                <w:color w:val="auto"/>
                <w:sz w:val="24"/>
                <w:highlight w:val="none"/>
              </w:rPr>
            </w:pPr>
            <w:r>
              <w:rPr>
                <w:rFonts w:hint="eastAsia" w:ascii="宋体" w:hAnsi="宋体" w:eastAsia="宋体"/>
                <w:b/>
                <w:color w:val="auto"/>
                <w:sz w:val="24"/>
                <w:highlight w:val="none"/>
              </w:rPr>
              <w:t>项</w:t>
            </w:r>
          </w:p>
        </w:tc>
        <w:tc>
          <w:tcPr>
            <w:tcW w:w="998" w:type="pct"/>
            <w:vAlign w:val="center"/>
          </w:tcPr>
          <w:p w14:paraId="23C06A8D">
            <w:pPr>
              <w:jc w:val="center"/>
              <w:rPr>
                <w:rFonts w:ascii="宋体" w:hAnsi="宋体" w:eastAsia="宋体"/>
                <w:b/>
                <w:color w:val="auto"/>
                <w:sz w:val="24"/>
                <w:highlight w:val="none"/>
              </w:rPr>
            </w:pPr>
            <w:r>
              <w:rPr>
                <w:rFonts w:hint="eastAsia" w:ascii="宋体" w:hAnsi="宋体" w:eastAsia="宋体"/>
                <w:b/>
                <w:color w:val="auto"/>
                <w:sz w:val="24"/>
                <w:highlight w:val="none"/>
              </w:rPr>
              <w:t>单价</w:t>
            </w:r>
          </w:p>
        </w:tc>
        <w:tc>
          <w:tcPr>
            <w:tcW w:w="920" w:type="pct"/>
            <w:vAlign w:val="center"/>
          </w:tcPr>
          <w:p w14:paraId="7F85FCEF">
            <w:pPr>
              <w:jc w:val="center"/>
              <w:rPr>
                <w:rFonts w:ascii="宋体" w:hAnsi="宋体" w:eastAsia="宋体"/>
                <w:b/>
                <w:color w:val="auto"/>
                <w:sz w:val="24"/>
                <w:highlight w:val="none"/>
              </w:rPr>
            </w:pPr>
            <w:r>
              <w:rPr>
                <w:rFonts w:hint="eastAsia" w:ascii="宋体" w:hAnsi="宋体" w:eastAsia="宋体"/>
                <w:b/>
                <w:color w:val="auto"/>
                <w:sz w:val="24"/>
                <w:highlight w:val="none"/>
              </w:rPr>
              <w:t>小计金额（元）</w:t>
            </w:r>
          </w:p>
        </w:tc>
      </w:tr>
      <w:tr w14:paraId="3BDB3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462" w:type="pct"/>
            <w:tcBorders>
              <w:bottom w:val="single" w:color="auto" w:sz="4" w:space="0"/>
            </w:tcBorders>
            <w:vAlign w:val="center"/>
          </w:tcPr>
          <w:p w14:paraId="1BC39D7B">
            <w:pPr>
              <w:jc w:val="center"/>
              <w:rPr>
                <w:rFonts w:ascii="宋体" w:hAnsi="宋体" w:eastAsia="宋体"/>
                <w:color w:val="auto"/>
                <w:sz w:val="24"/>
                <w:highlight w:val="none"/>
              </w:rPr>
            </w:pPr>
            <w:r>
              <w:rPr>
                <w:rFonts w:hint="eastAsia" w:ascii="宋体" w:hAnsi="宋体" w:eastAsia="宋体"/>
                <w:color w:val="auto"/>
                <w:sz w:val="24"/>
                <w:highlight w:val="none"/>
              </w:rPr>
              <w:t>1</w:t>
            </w:r>
          </w:p>
        </w:tc>
        <w:tc>
          <w:tcPr>
            <w:tcW w:w="1994" w:type="pct"/>
            <w:vAlign w:val="center"/>
          </w:tcPr>
          <w:p w14:paraId="00BCF21C">
            <w:pPr>
              <w:jc w:val="center"/>
              <w:rPr>
                <w:rFonts w:hint="eastAsia" w:ascii="宋体" w:hAnsi="宋体" w:eastAsia="宋体"/>
                <w:color w:val="auto"/>
                <w:sz w:val="24"/>
                <w:highlight w:val="none"/>
                <w:lang w:val="en-US" w:eastAsia="zh-CN"/>
              </w:rPr>
            </w:pPr>
            <w:r>
              <w:rPr>
                <w:rFonts w:hint="eastAsia" w:ascii="宋体" w:hAnsi="宋体" w:eastAsia="宋体"/>
                <w:color w:val="auto"/>
                <w:sz w:val="24"/>
                <w:highlight w:val="none"/>
              </w:rPr>
              <w:t>桐城师范高等专科学校</w:t>
            </w:r>
            <w:r>
              <w:rPr>
                <w:rFonts w:hint="eastAsia" w:ascii="宋体" w:hAnsi="宋体" w:eastAsia="宋体"/>
                <w:color w:val="auto"/>
                <w:sz w:val="24"/>
                <w:highlight w:val="none"/>
                <w:lang w:val="en-US" w:eastAsia="zh-CN"/>
              </w:rPr>
              <w:t>2025年度</w:t>
            </w:r>
            <w:r>
              <w:rPr>
                <w:rFonts w:hint="eastAsia" w:ascii="宋体" w:hAnsi="宋体" w:eastAsia="宋体"/>
                <w:color w:val="auto"/>
                <w:sz w:val="24"/>
                <w:highlight w:val="none"/>
              </w:rPr>
              <w:t>教学设备及办公设备维修</w:t>
            </w:r>
            <w:r>
              <w:rPr>
                <w:rFonts w:hint="eastAsia" w:ascii="宋体" w:hAnsi="宋体" w:eastAsia="宋体"/>
                <w:color w:val="auto"/>
                <w:sz w:val="24"/>
                <w:highlight w:val="none"/>
                <w:lang w:val="en-US" w:eastAsia="zh-CN"/>
              </w:rPr>
              <w:t>项目</w:t>
            </w:r>
          </w:p>
        </w:tc>
        <w:tc>
          <w:tcPr>
            <w:tcW w:w="623" w:type="pct"/>
            <w:vAlign w:val="center"/>
          </w:tcPr>
          <w:p w14:paraId="1C6D743A">
            <w:pPr>
              <w:jc w:val="center"/>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1</w:t>
            </w:r>
          </w:p>
        </w:tc>
        <w:tc>
          <w:tcPr>
            <w:tcW w:w="998" w:type="pct"/>
            <w:vAlign w:val="center"/>
          </w:tcPr>
          <w:p w14:paraId="4ABBA0DA">
            <w:pPr>
              <w:jc w:val="center"/>
              <w:rPr>
                <w:rFonts w:ascii="宋体" w:hAnsi="宋体" w:eastAsia="宋体"/>
                <w:color w:val="auto"/>
                <w:sz w:val="24"/>
                <w:highlight w:val="none"/>
              </w:rPr>
            </w:pPr>
          </w:p>
        </w:tc>
        <w:tc>
          <w:tcPr>
            <w:tcW w:w="920" w:type="pct"/>
            <w:vAlign w:val="center"/>
          </w:tcPr>
          <w:p w14:paraId="171C8AFF">
            <w:pPr>
              <w:jc w:val="center"/>
              <w:rPr>
                <w:rFonts w:ascii="宋体" w:hAnsi="宋体" w:eastAsia="宋体"/>
                <w:color w:val="auto"/>
                <w:sz w:val="24"/>
                <w:highlight w:val="none"/>
              </w:rPr>
            </w:pPr>
          </w:p>
        </w:tc>
      </w:tr>
      <w:tr w14:paraId="35AD4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9" w:hRule="atLeast"/>
          <w:jc w:val="center"/>
        </w:trPr>
        <w:tc>
          <w:tcPr>
            <w:tcW w:w="462" w:type="pct"/>
            <w:vAlign w:val="center"/>
          </w:tcPr>
          <w:p w14:paraId="6F0EBF7D">
            <w:pPr>
              <w:jc w:val="center"/>
              <w:rPr>
                <w:rFonts w:ascii="宋体" w:hAnsi="宋体" w:eastAsia="宋体"/>
                <w:color w:val="auto"/>
                <w:sz w:val="24"/>
                <w:highlight w:val="none"/>
              </w:rPr>
            </w:pPr>
            <w:r>
              <w:rPr>
                <w:rFonts w:hint="eastAsia" w:ascii="宋体" w:hAnsi="宋体" w:eastAsia="宋体"/>
                <w:color w:val="auto"/>
                <w:sz w:val="24"/>
                <w:highlight w:val="none"/>
              </w:rPr>
              <w:t>2</w:t>
            </w:r>
          </w:p>
        </w:tc>
        <w:tc>
          <w:tcPr>
            <w:tcW w:w="1994" w:type="pct"/>
            <w:vAlign w:val="center"/>
          </w:tcPr>
          <w:p w14:paraId="7E1B8709">
            <w:pPr>
              <w:jc w:val="center"/>
              <w:rPr>
                <w:rFonts w:hint="default" w:ascii="宋体" w:hAnsi="宋体" w:eastAsia="宋体"/>
                <w:color w:val="auto"/>
                <w:sz w:val="24"/>
                <w:highlight w:val="none"/>
                <w:lang w:val="en-US" w:eastAsia="zh-CN"/>
              </w:rPr>
            </w:pPr>
            <w:r>
              <w:rPr>
                <w:rFonts w:hint="eastAsia" w:ascii="宋体" w:hAnsi="宋体" w:eastAsia="宋体"/>
                <w:color w:val="auto"/>
                <w:sz w:val="24"/>
                <w:highlight w:val="none"/>
              </w:rPr>
              <w:t>桐城师范高等专科学校</w:t>
            </w:r>
            <w:r>
              <w:rPr>
                <w:rFonts w:hint="eastAsia" w:ascii="宋体" w:hAnsi="宋体"/>
                <w:color w:val="auto"/>
                <w:sz w:val="24"/>
                <w:highlight w:val="none"/>
                <w:lang w:val="en-US" w:eastAsia="zh-CN"/>
              </w:rPr>
              <w:t>2025年度</w:t>
            </w:r>
            <w:r>
              <w:rPr>
                <w:rFonts w:hint="eastAsia" w:ascii="宋体" w:hAnsi="宋体" w:eastAsia="宋体"/>
                <w:color w:val="auto"/>
                <w:sz w:val="24"/>
                <w:highlight w:val="none"/>
              </w:rPr>
              <w:t>教学设备及办公设备维</w:t>
            </w:r>
            <w:r>
              <w:rPr>
                <w:rFonts w:hint="eastAsia" w:ascii="宋体" w:hAnsi="宋体"/>
                <w:color w:val="auto"/>
                <w:sz w:val="24"/>
                <w:highlight w:val="none"/>
                <w:lang w:val="en-US" w:eastAsia="zh-CN"/>
              </w:rPr>
              <w:t>护项目</w:t>
            </w:r>
          </w:p>
        </w:tc>
        <w:tc>
          <w:tcPr>
            <w:tcW w:w="623" w:type="pct"/>
            <w:vAlign w:val="center"/>
          </w:tcPr>
          <w:p w14:paraId="38CC2F48">
            <w:pPr>
              <w:jc w:val="center"/>
              <w:rPr>
                <w:rFonts w:hint="eastAsia" w:ascii="宋体" w:hAnsi="宋体" w:eastAsia="宋体"/>
                <w:color w:val="auto"/>
                <w:sz w:val="24"/>
                <w:highlight w:val="none"/>
                <w:lang w:val="en-US" w:eastAsia="zh-CN"/>
              </w:rPr>
            </w:pPr>
            <w:r>
              <w:rPr>
                <w:rFonts w:hint="eastAsia" w:ascii="宋体" w:hAnsi="宋体" w:eastAsia="宋体"/>
                <w:color w:val="auto"/>
                <w:sz w:val="24"/>
                <w:highlight w:val="none"/>
                <w:lang w:val="en-US" w:eastAsia="zh-CN"/>
              </w:rPr>
              <w:t>1</w:t>
            </w:r>
          </w:p>
        </w:tc>
        <w:tc>
          <w:tcPr>
            <w:tcW w:w="998" w:type="pct"/>
            <w:vAlign w:val="center"/>
          </w:tcPr>
          <w:p w14:paraId="03061D89">
            <w:pPr>
              <w:jc w:val="center"/>
              <w:rPr>
                <w:rFonts w:ascii="宋体" w:hAnsi="宋体" w:eastAsia="宋体"/>
                <w:color w:val="auto"/>
                <w:sz w:val="24"/>
                <w:highlight w:val="none"/>
              </w:rPr>
            </w:pPr>
          </w:p>
        </w:tc>
        <w:tc>
          <w:tcPr>
            <w:tcW w:w="920" w:type="pct"/>
            <w:vAlign w:val="center"/>
          </w:tcPr>
          <w:p w14:paraId="2D06A92A">
            <w:pPr>
              <w:jc w:val="center"/>
              <w:rPr>
                <w:rFonts w:ascii="宋体" w:hAnsi="宋体" w:eastAsia="宋体"/>
                <w:color w:val="auto"/>
                <w:sz w:val="24"/>
                <w:highlight w:val="none"/>
              </w:rPr>
            </w:pPr>
          </w:p>
        </w:tc>
      </w:tr>
      <w:tr w14:paraId="41C0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4" w:hRule="atLeast"/>
          <w:jc w:val="center"/>
        </w:trPr>
        <w:tc>
          <w:tcPr>
            <w:tcW w:w="4079" w:type="pct"/>
            <w:gridSpan w:val="4"/>
            <w:vAlign w:val="center"/>
          </w:tcPr>
          <w:p w14:paraId="2E979E8A">
            <w:pPr>
              <w:jc w:val="center"/>
              <w:rPr>
                <w:rFonts w:ascii="宋体" w:hAnsi="宋体" w:eastAsia="宋体"/>
                <w:color w:val="auto"/>
                <w:sz w:val="24"/>
                <w:highlight w:val="none"/>
              </w:rPr>
            </w:pPr>
            <w:r>
              <w:rPr>
                <w:rFonts w:hint="eastAsia" w:ascii="宋体" w:hAnsi="宋体" w:eastAsia="宋体"/>
                <w:b/>
                <w:color w:val="auto"/>
                <w:sz w:val="24"/>
                <w:highlight w:val="none"/>
              </w:rPr>
              <w:t>合计金额（元）</w:t>
            </w:r>
          </w:p>
        </w:tc>
        <w:tc>
          <w:tcPr>
            <w:tcW w:w="920" w:type="pct"/>
            <w:vAlign w:val="center"/>
          </w:tcPr>
          <w:p w14:paraId="461581DD">
            <w:pPr>
              <w:jc w:val="center"/>
              <w:rPr>
                <w:rFonts w:ascii="宋体" w:hAnsi="宋体" w:eastAsia="宋体"/>
                <w:color w:val="auto"/>
                <w:sz w:val="24"/>
                <w:highlight w:val="none"/>
              </w:rPr>
            </w:pPr>
          </w:p>
        </w:tc>
      </w:tr>
    </w:tbl>
    <w:p w14:paraId="00FCD48F">
      <w:pPr>
        <w:pStyle w:val="4"/>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169BC08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0685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1B3E2FE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19DB137E">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36F760E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7D6B2F3">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5D8CF705">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17ED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6ACF63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698362A">
            <w:pPr>
              <w:jc w:val="center"/>
              <w:rPr>
                <w:rFonts w:ascii="宋体" w:hAnsi="宋体"/>
                <w:color w:val="auto"/>
                <w:sz w:val="24"/>
                <w:highlight w:val="none"/>
              </w:rPr>
            </w:pPr>
            <w:r>
              <w:rPr>
                <w:rFonts w:asciiTheme="minorEastAsia" w:hAnsiTheme="minorEastAsia" w:eastAsiaTheme="minorEastAsia"/>
                <w:color w:val="auto"/>
                <w:sz w:val="24"/>
                <w:highlight w:val="none"/>
              </w:rPr>
              <w:t>付款方式</w:t>
            </w:r>
          </w:p>
        </w:tc>
        <w:tc>
          <w:tcPr>
            <w:tcW w:w="2215" w:type="dxa"/>
            <w:vAlign w:val="center"/>
          </w:tcPr>
          <w:p w14:paraId="739FA7A1">
            <w:pPr>
              <w:jc w:val="center"/>
              <w:rPr>
                <w:rFonts w:asciiTheme="minorEastAsia" w:hAnsiTheme="minorEastAsia" w:eastAsiaTheme="minorEastAsia"/>
                <w:color w:val="auto"/>
                <w:sz w:val="24"/>
                <w:highlight w:val="none"/>
              </w:rPr>
            </w:pPr>
          </w:p>
        </w:tc>
        <w:tc>
          <w:tcPr>
            <w:tcW w:w="2347" w:type="dxa"/>
            <w:vAlign w:val="center"/>
          </w:tcPr>
          <w:p w14:paraId="5B05B333">
            <w:pPr>
              <w:jc w:val="center"/>
              <w:rPr>
                <w:rFonts w:asciiTheme="minorEastAsia" w:hAnsiTheme="minorEastAsia" w:eastAsiaTheme="minorEastAsia"/>
                <w:color w:val="auto"/>
                <w:sz w:val="24"/>
                <w:highlight w:val="none"/>
              </w:rPr>
            </w:pPr>
          </w:p>
        </w:tc>
        <w:tc>
          <w:tcPr>
            <w:tcW w:w="1235" w:type="dxa"/>
            <w:vAlign w:val="center"/>
          </w:tcPr>
          <w:p w14:paraId="773D14AF">
            <w:pPr>
              <w:jc w:val="center"/>
              <w:rPr>
                <w:rFonts w:asciiTheme="minorEastAsia" w:hAnsiTheme="minorEastAsia" w:eastAsiaTheme="minorEastAsia"/>
                <w:color w:val="auto"/>
                <w:sz w:val="24"/>
                <w:highlight w:val="none"/>
              </w:rPr>
            </w:pPr>
          </w:p>
        </w:tc>
      </w:tr>
      <w:tr w14:paraId="3190A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047DD33">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61B1BBD5">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地点</w:t>
            </w:r>
          </w:p>
        </w:tc>
        <w:tc>
          <w:tcPr>
            <w:tcW w:w="2215" w:type="dxa"/>
            <w:vAlign w:val="center"/>
          </w:tcPr>
          <w:p w14:paraId="209B4D52">
            <w:pPr>
              <w:jc w:val="center"/>
              <w:rPr>
                <w:rFonts w:asciiTheme="minorEastAsia" w:hAnsiTheme="minorEastAsia" w:eastAsiaTheme="minorEastAsia"/>
                <w:color w:val="auto"/>
                <w:sz w:val="24"/>
                <w:highlight w:val="none"/>
              </w:rPr>
            </w:pPr>
          </w:p>
        </w:tc>
        <w:tc>
          <w:tcPr>
            <w:tcW w:w="2347" w:type="dxa"/>
            <w:vAlign w:val="center"/>
          </w:tcPr>
          <w:p w14:paraId="7075DB55">
            <w:pPr>
              <w:jc w:val="center"/>
              <w:rPr>
                <w:rFonts w:asciiTheme="minorEastAsia" w:hAnsiTheme="minorEastAsia" w:eastAsiaTheme="minorEastAsia"/>
                <w:color w:val="auto"/>
                <w:sz w:val="24"/>
                <w:highlight w:val="none"/>
              </w:rPr>
            </w:pPr>
          </w:p>
        </w:tc>
        <w:tc>
          <w:tcPr>
            <w:tcW w:w="1235" w:type="dxa"/>
            <w:vAlign w:val="center"/>
          </w:tcPr>
          <w:p w14:paraId="204CDF46">
            <w:pPr>
              <w:jc w:val="center"/>
              <w:rPr>
                <w:rFonts w:asciiTheme="minorEastAsia" w:hAnsiTheme="minorEastAsia" w:eastAsiaTheme="minorEastAsia"/>
                <w:color w:val="auto"/>
                <w:sz w:val="24"/>
                <w:highlight w:val="none"/>
              </w:rPr>
            </w:pPr>
          </w:p>
        </w:tc>
      </w:tr>
      <w:tr w14:paraId="23327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5486A1FE">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3E969568">
            <w:pPr>
              <w:jc w:val="center"/>
              <w:rPr>
                <w:rFonts w:ascii="宋体" w:hAnsi="宋体"/>
                <w:color w:val="auto"/>
                <w:sz w:val="24"/>
                <w:highlight w:val="none"/>
              </w:rPr>
            </w:pPr>
            <w:r>
              <w:rPr>
                <w:rFonts w:hint="eastAsia" w:ascii="宋体" w:hAnsi="宋体"/>
                <w:color w:val="auto"/>
                <w:sz w:val="24"/>
                <w:highlight w:val="none"/>
                <w:lang w:eastAsia="zh-CN"/>
              </w:rPr>
              <w:t>服务</w:t>
            </w:r>
            <w:r>
              <w:rPr>
                <w:rFonts w:hint="eastAsia" w:ascii="宋体" w:hAnsi="宋体"/>
                <w:color w:val="auto"/>
                <w:sz w:val="24"/>
                <w:highlight w:val="none"/>
              </w:rPr>
              <w:t>期限</w:t>
            </w:r>
          </w:p>
        </w:tc>
        <w:tc>
          <w:tcPr>
            <w:tcW w:w="2215" w:type="dxa"/>
            <w:vAlign w:val="center"/>
          </w:tcPr>
          <w:p w14:paraId="0D9359DA">
            <w:pPr>
              <w:jc w:val="center"/>
              <w:rPr>
                <w:rFonts w:asciiTheme="minorEastAsia" w:hAnsiTheme="minorEastAsia" w:eastAsiaTheme="minorEastAsia"/>
                <w:color w:val="auto"/>
                <w:sz w:val="24"/>
                <w:highlight w:val="none"/>
              </w:rPr>
            </w:pPr>
          </w:p>
        </w:tc>
        <w:tc>
          <w:tcPr>
            <w:tcW w:w="2347" w:type="dxa"/>
            <w:vAlign w:val="center"/>
          </w:tcPr>
          <w:p w14:paraId="1B3ED06D">
            <w:pPr>
              <w:pStyle w:val="132"/>
              <w:jc w:val="center"/>
              <w:rPr>
                <w:rFonts w:asciiTheme="minorEastAsia" w:hAnsiTheme="minorEastAsia" w:eastAsiaTheme="minorEastAsia"/>
                <w:color w:val="auto"/>
                <w:highlight w:val="none"/>
              </w:rPr>
            </w:pPr>
          </w:p>
        </w:tc>
        <w:tc>
          <w:tcPr>
            <w:tcW w:w="1235" w:type="dxa"/>
            <w:vAlign w:val="center"/>
          </w:tcPr>
          <w:p w14:paraId="74BFBE64">
            <w:pPr>
              <w:jc w:val="center"/>
              <w:rPr>
                <w:rFonts w:asciiTheme="minorEastAsia" w:hAnsiTheme="minorEastAsia" w:eastAsiaTheme="minorEastAsia"/>
                <w:color w:val="auto"/>
                <w:sz w:val="24"/>
                <w:highlight w:val="none"/>
              </w:rPr>
            </w:pPr>
          </w:p>
        </w:tc>
      </w:tr>
      <w:tr w14:paraId="487D1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57B24F">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tc>
        <w:tc>
          <w:tcPr>
            <w:tcW w:w="1927" w:type="dxa"/>
            <w:vAlign w:val="center"/>
          </w:tcPr>
          <w:p w14:paraId="5226D06E">
            <w:pPr>
              <w:jc w:val="center"/>
              <w:rPr>
                <w:rFonts w:ascii="宋体" w:hAnsi="宋体"/>
                <w:color w:val="auto"/>
                <w:sz w:val="24"/>
                <w:highlight w:val="none"/>
              </w:rPr>
            </w:pPr>
          </w:p>
        </w:tc>
        <w:tc>
          <w:tcPr>
            <w:tcW w:w="2215" w:type="dxa"/>
            <w:vAlign w:val="center"/>
          </w:tcPr>
          <w:p w14:paraId="7ED5BA9A">
            <w:pPr>
              <w:jc w:val="center"/>
              <w:rPr>
                <w:rFonts w:asciiTheme="minorEastAsia" w:hAnsiTheme="minorEastAsia" w:eastAsiaTheme="minorEastAsia"/>
                <w:color w:val="auto"/>
                <w:sz w:val="24"/>
                <w:highlight w:val="none"/>
              </w:rPr>
            </w:pPr>
          </w:p>
        </w:tc>
        <w:tc>
          <w:tcPr>
            <w:tcW w:w="2347" w:type="dxa"/>
            <w:vAlign w:val="center"/>
          </w:tcPr>
          <w:p w14:paraId="0267EE93">
            <w:pPr>
              <w:jc w:val="center"/>
              <w:rPr>
                <w:rFonts w:asciiTheme="minorEastAsia" w:hAnsiTheme="minorEastAsia" w:eastAsiaTheme="minorEastAsia"/>
                <w:color w:val="auto"/>
                <w:sz w:val="24"/>
                <w:highlight w:val="none"/>
              </w:rPr>
            </w:pPr>
          </w:p>
        </w:tc>
        <w:tc>
          <w:tcPr>
            <w:tcW w:w="1235" w:type="dxa"/>
            <w:vAlign w:val="center"/>
          </w:tcPr>
          <w:p w14:paraId="5523E680">
            <w:pPr>
              <w:jc w:val="center"/>
              <w:rPr>
                <w:rFonts w:asciiTheme="minorEastAsia" w:hAnsiTheme="minorEastAsia" w:eastAsiaTheme="minorEastAsia"/>
                <w:color w:val="auto"/>
                <w:sz w:val="24"/>
                <w:highlight w:val="none"/>
              </w:rPr>
            </w:pPr>
          </w:p>
        </w:tc>
      </w:tr>
      <w:bookmarkEnd w:id="114"/>
    </w:tbl>
    <w:p w14:paraId="3369924F">
      <w:pPr>
        <w:spacing w:line="360" w:lineRule="auto"/>
        <w:ind w:firstLine="210" w:firstLineChars="100"/>
        <w:rPr>
          <w:rFonts w:hint="eastAsia" w:ascii="宋体" w:hAnsi="宋体"/>
          <w:color w:val="auto"/>
          <w:szCs w:val="21"/>
          <w:highlight w:val="none"/>
        </w:rPr>
      </w:pPr>
      <w:bookmarkStart w:id="115" w:name="_Toc54941345"/>
      <w:bookmarkStart w:id="116" w:name="_Toc15038"/>
      <w:bookmarkStart w:id="117" w:name="_Toc476584436"/>
      <w:r>
        <w:rPr>
          <w:rFonts w:hint="eastAsia" w:ascii="宋体" w:hAnsi="宋体"/>
          <w:color w:val="auto"/>
          <w:szCs w:val="21"/>
          <w:highlight w:val="none"/>
          <w:lang w:val="en-US" w:eastAsia="zh-CN"/>
        </w:rPr>
        <w:t>3.2</w:t>
      </w:r>
      <w:r>
        <w:rPr>
          <w:rFonts w:hint="eastAsia" w:ascii="宋体" w:hAnsi="宋体"/>
          <w:color w:val="auto"/>
          <w:szCs w:val="21"/>
          <w:highlight w:val="none"/>
          <w:lang w:eastAsia="zh-CN"/>
        </w:rPr>
        <w:t>服务需求</w:t>
      </w:r>
      <w:r>
        <w:rPr>
          <w:rFonts w:hint="eastAsia" w:ascii="宋体" w:hAnsi="宋体"/>
          <w:color w:val="auto"/>
          <w:szCs w:val="21"/>
          <w:highlight w:val="none"/>
        </w:rPr>
        <w:t>响应表：</w:t>
      </w:r>
    </w:p>
    <w:tbl>
      <w:tblPr>
        <w:tblStyle w:val="39"/>
        <w:tblW w:w="8727" w:type="dxa"/>
        <w:tblInd w:w="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5681"/>
        <w:gridCol w:w="2209"/>
      </w:tblGrid>
      <w:tr w14:paraId="55677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37" w:type="dxa"/>
            <w:vAlign w:val="center"/>
          </w:tcPr>
          <w:p w14:paraId="278E7102">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5681" w:type="dxa"/>
            <w:vAlign w:val="center"/>
          </w:tcPr>
          <w:p w14:paraId="22755AA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服务内容质量要求</w:t>
            </w:r>
          </w:p>
        </w:tc>
        <w:tc>
          <w:tcPr>
            <w:tcW w:w="2209" w:type="dxa"/>
            <w:vAlign w:val="center"/>
          </w:tcPr>
          <w:p w14:paraId="169CD1B7">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响应情况</w:t>
            </w:r>
          </w:p>
        </w:tc>
      </w:tr>
      <w:tr w14:paraId="7C791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837" w:type="dxa"/>
            <w:vAlign w:val="center"/>
          </w:tcPr>
          <w:p w14:paraId="76DFE926">
            <w:pPr>
              <w:spacing w:line="360" w:lineRule="auto"/>
              <w:jc w:val="center"/>
              <w:rPr>
                <w:rFonts w:ascii="宋体" w:hAnsi="宋体" w:cs="宋体"/>
                <w:color w:val="auto"/>
                <w:spacing w:val="-4"/>
                <w:szCs w:val="21"/>
                <w:highlight w:val="none"/>
              </w:rPr>
            </w:pPr>
          </w:p>
        </w:tc>
        <w:tc>
          <w:tcPr>
            <w:tcW w:w="5681" w:type="dxa"/>
            <w:vAlign w:val="center"/>
          </w:tcPr>
          <w:p w14:paraId="124A3EC5">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03A1242D">
            <w:pPr>
              <w:spacing w:line="360" w:lineRule="auto"/>
              <w:jc w:val="center"/>
              <w:rPr>
                <w:rFonts w:ascii="宋体" w:hAnsi="宋体" w:cs="宋体"/>
                <w:b/>
                <w:color w:val="auto"/>
                <w:szCs w:val="21"/>
                <w:highlight w:val="none"/>
              </w:rPr>
            </w:pPr>
          </w:p>
        </w:tc>
      </w:tr>
      <w:tr w14:paraId="6B879B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837" w:type="dxa"/>
            <w:vAlign w:val="center"/>
          </w:tcPr>
          <w:p w14:paraId="12FAAF01">
            <w:pPr>
              <w:spacing w:line="360" w:lineRule="auto"/>
              <w:jc w:val="center"/>
              <w:rPr>
                <w:rFonts w:ascii="宋体" w:hAnsi="宋体" w:cs="宋体"/>
                <w:color w:val="auto"/>
                <w:spacing w:val="-4"/>
                <w:szCs w:val="21"/>
                <w:highlight w:val="none"/>
              </w:rPr>
            </w:pPr>
          </w:p>
        </w:tc>
        <w:tc>
          <w:tcPr>
            <w:tcW w:w="5681" w:type="dxa"/>
            <w:vAlign w:val="center"/>
          </w:tcPr>
          <w:p w14:paraId="643D79C7">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29FFC3B0">
            <w:pPr>
              <w:spacing w:line="360" w:lineRule="auto"/>
              <w:jc w:val="center"/>
              <w:rPr>
                <w:rFonts w:ascii="宋体" w:hAnsi="宋体" w:cs="宋体"/>
                <w:b/>
                <w:color w:val="auto"/>
                <w:szCs w:val="21"/>
                <w:highlight w:val="none"/>
              </w:rPr>
            </w:pPr>
          </w:p>
        </w:tc>
      </w:tr>
      <w:tr w14:paraId="439C8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837" w:type="dxa"/>
            <w:vAlign w:val="center"/>
          </w:tcPr>
          <w:p w14:paraId="28968CA1">
            <w:pPr>
              <w:spacing w:line="360" w:lineRule="auto"/>
              <w:jc w:val="center"/>
              <w:rPr>
                <w:rFonts w:ascii="宋体" w:hAnsi="宋体" w:cs="宋体"/>
                <w:color w:val="auto"/>
                <w:spacing w:val="-4"/>
                <w:szCs w:val="21"/>
                <w:highlight w:val="none"/>
              </w:rPr>
            </w:pPr>
          </w:p>
        </w:tc>
        <w:tc>
          <w:tcPr>
            <w:tcW w:w="5681" w:type="dxa"/>
            <w:vAlign w:val="center"/>
          </w:tcPr>
          <w:p w14:paraId="7489DB2E">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4F47B0DE">
            <w:pPr>
              <w:spacing w:line="360" w:lineRule="auto"/>
              <w:jc w:val="center"/>
              <w:rPr>
                <w:rFonts w:ascii="宋体" w:hAnsi="宋体" w:cs="宋体"/>
                <w:b/>
                <w:color w:val="auto"/>
                <w:szCs w:val="21"/>
                <w:highlight w:val="none"/>
              </w:rPr>
            </w:pPr>
          </w:p>
        </w:tc>
      </w:tr>
      <w:tr w14:paraId="0BBBA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trPr>
        <w:tc>
          <w:tcPr>
            <w:tcW w:w="837" w:type="dxa"/>
            <w:vAlign w:val="center"/>
          </w:tcPr>
          <w:p w14:paraId="5EE68EA4">
            <w:pPr>
              <w:spacing w:line="360" w:lineRule="auto"/>
              <w:jc w:val="center"/>
              <w:rPr>
                <w:rFonts w:ascii="宋体" w:hAnsi="宋体" w:cs="宋体"/>
                <w:color w:val="auto"/>
                <w:spacing w:val="-4"/>
                <w:szCs w:val="21"/>
                <w:highlight w:val="none"/>
              </w:rPr>
            </w:pPr>
          </w:p>
        </w:tc>
        <w:tc>
          <w:tcPr>
            <w:tcW w:w="5681" w:type="dxa"/>
            <w:vAlign w:val="center"/>
          </w:tcPr>
          <w:p w14:paraId="655B02E4">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0D8A4A5D">
            <w:pPr>
              <w:spacing w:line="360" w:lineRule="auto"/>
              <w:jc w:val="center"/>
              <w:rPr>
                <w:rFonts w:ascii="宋体" w:hAnsi="宋体" w:cs="宋体"/>
                <w:b/>
                <w:color w:val="auto"/>
                <w:szCs w:val="21"/>
                <w:highlight w:val="none"/>
              </w:rPr>
            </w:pPr>
          </w:p>
        </w:tc>
      </w:tr>
      <w:tr w14:paraId="6C601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837" w:type="dxa"/>
            <w:vAlign w:val="center"/>
          </w:tcPr>
          <w:p w14:paraId="071E597F">
            <w:pPr>
              <w:spacing w:line="360" w:lineRule="auto"/>
              <w:jc w:val="center"/>
              <w:rPr>
                <w:rFonts w:ascii="宋体" w:hAnsi="宋体" w:cs="宋体"/>
                <w:color w:val="auto"/>
                <w:spacing w:val="-4"/>
                <w:szCs w:val="21"/>
                <w:highlight w:val="none"/>
              </w:rPr>
            </w:pPr>
          </w:p>
        </w:tc>
        <w:tc>
          <w:tcPr>
            <w:tcW w:w="5681" w:type="dxa"/>
            <w:vAlign w:val="center"/>
          </w:tcPr>
          <w:p w14:paraId="40A44E81">
            <w:pPr>
              <w:spacing w:line="360" w:lineRule="auto"/>
              <w:jc w:val="center"/>
              <w:rPr>
                <w:rFonts w:hint="default" w:ascii="宋体" w:hAnsi="宋体" w:eastAsia="宋体" w:cs="宋体"/>
                <w:color w:val="auto"/>
                <w:szCs w:val="21"/>
                <w:highlight w:val="none"/>
                <w:lang w:val="en-US" w:eastAsia="zh-CN"/>
              </w:rPr>
            </w:pPr>
          </w:p>
        </w:tc>
        <w:tc>
          <w:tcPr>
            <w:tcW w:w="2209" w:type="dxa"/>
            <w:vAlign w:val="center"/>
          </w:tcPr>
          <w:p w14:paraId="7B446653">
            <w:pPr>
              <w:spacing w:line="360" w:lineRule="auto"/>
              <w:jc w:val="center"/>
              <w:rPr>
                <w:rFonts w:ascii="宋体" w:hAnsi="宋体" w:cs="宋体"/>
                <w:b/>
                <w:color w:val="auto"/>
                <w:szCs w:val="21"/>
                <w:highlight w:val="none"/>
              </w:rPr>
            </w:pPr>
          </w:p>
        </w:tc>
      </w:tr>
      <w:tr w14:paraId="2FF14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trPr>
        <w:tc>
          <w:tcPr>
            <w:tcW w:w="837" w:type="dxa"/>
            <w:vAlign w:val="center"/>
          </w:tcPr>
          <w:p w14:paraId="27D83F44">
            <w:pPr>
              <w:spacing w:line="360" w:lineRule="auto"/>
              <w:jc w:val="center"/>
              <w:rPr>
                <w:rFonts w:ascii="宋体" w:hAnsi="宋体" w:cs="宋体"/>
                <w:color w:val="auto"/>
                <w:spacing w:val="-4"/>
                <w:szCs w:val="21"/>
                <w:highlight w:val="none"/>
              </w:rPr>
            </w:pPr>
          </w:p>
        </w:tc>
        <w:tc>
          <w:tcPr>
            <w:tcW w:w="5681" w:type="dxa"/>
            <w:vAlign w:val="center"/>
          </w:tcPr>
          <w:p w14:paraId="242593A6">
            <w:pPr>
              <w:spacing w:line="36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w:t>
            </w:r>
          </w:p>
        </w:tc>
        <w:tc>
          <w:tcPr>
            <w:tcW w:w="2209" w:type="dxa"/>
            <w:vAlign w:val="center"/>
          </w:tcPr>
          <w:p w14:paraId="416FB20B">
            <w:pPr>
              <w:spacing w:line="360" w:lineRule="auto"/>
              <w:jc w:val="center"/>
              <w:rPr>
                <w:rFonts w:ascii="宋体" w:hAnsi="宋体" w:cs="宋体"/>
                <w:b/>
                <w:color w:val="auto"/>
                <w:szCs w:val="21"/>
                <w:highlight w:val="none"/>
              </w:rPr>
            </w:pPr>
          </w:p>
        </w:tc>
      </w:tr>
      <w:tr w14:paraId="096DA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exact"/>
        </w:trPr>
        <w:tc>
          <w:tcPr>
            <w:tcW w:w="837" w:type="dxa"/>
            <w:vAlign w:val="center"/>
          </w:tcPr>
          <w:p w14:paraId="5D9E189A">
            <w:pPr>
              <w:spacing w:line="360" w:lineRule="auto"/>
              <w:jc w:val="center"/>
              <w:rPr>
                <w:rFonts w:ascii="宋体" w:hAnsi="宋体" w:cs="宋体"/>
                <w:color w:val="auto"/>
                <w:spacing w:val="-4"/>
                <w:szCs w:val="21"/>
                <w:highlight w:val="none"/>
              </w:rPr>
            </w:pPr>
          </w:p>
        </w:tc>
        <w:tc>
          <w:tcPr>
            <w:tcW w:w="7890" w:type="dxa"/>
            <w:gridSpan w:val="2"/>
            <w:vAlign w:val="center"/>
          </w:tcPr>
          <w:p w14:paraId="5C8DA266">
            <w:pPr>
              <w:keepNext w:val="0"/>
              <w:keepLines w:val="0"/>
              <w:widowControl/>
              <w:suppressLineNumbers w:val="0"/>
              <w:jc w:val="center"/>
              <w:rPr>
                <w:rFonts w:hint="eastAsia" w:ascii="宋体" w:hAnsi="宋体" w:eastAsia="宋体" w:cs="宋体"/>
                <w:color w:val="000000"/>
                <w:kern w:val="0"/>
                <w:sz w:val="20"/>
                <w:szCs w:val="20"/>
                <w:lang w:val="en-US" w:eastAsia="zh-CN" w:bidi="ar"/>
              </w:rPr>
            </w:pPr>
          </w:p>
          <w:p w14:paraId="19258B9E">
            <w:pPr>
              <w:keepNext w:val="0"/>
              <w:keepLines w:val="0"/>
              <w:widowControl/>
              <w:suppressLineNumbers w:val="0"/>
              <w:jc w:val="center"/>
            </w:pPr>
            <w:r>
              <w:rPr>
                <w:rFonts w:hint="eastAsia" w:ascii="宋体" w:hAnsi="宋体" w:eastAsia="宋体" w:cs="宋体"/>
                <w:color w:val="000000"/>
                <w:kern w:val="0"/>
                <w:sz w:val="20"/>
                <w:szCs w:val="20"/>
                <w:lang w:val="en-US" w:eastAsia="zh-CN" w:bidi="ar"/>
              </w:rPr>
              <w:t>我单位完全响应谈判文件所有内容。</w:t>
            </w:r>
          </w:p>
          <w:p w14:paraId="11A6A4C3">
            <w:pPr>
              <w:spacing w:line="360" w:lineRule="auto"/>
              <w:jc w:val="center"/>
              <w:rPr>
                <w:rFonts w:ascii="宋体" w:hAnsi="宋体" w:cs="宋体"/>
                <w:b/>
                <w:color w:val="auto"/>
                <w:szCs w:val="21"/>
                <w:highlight w:val="none"/>
              </w:rPr>
            </w:pPr>
          </w:p>
        </w:tc>
      </w:tr>
    </w:tbl>
    <w:p w14:paraId="13BFEC07">
      <w:pPr>
        <w:tabs>
          <w:tab w:val="left" w:pos="1815"/>
        </w:tabs>
        <w:spacing w:line="360" w:lineRule="auto"/>
        <w:rPr>
          <w:rFonts w:ascii="宋体" w:hAnsi="宋体" w:cs="Arial"/>
          <w:b/>
          <w:color w:val="auto"/>
          <w:szCs w:val="21"/>
          <w:highlight w:val="none"/>
        </w:rPr>
      </w:pPr>
    </w:p>
    <w:p w14:paraId="583DC0A7">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w:t>
      </w:r>
      <w:r>
        <w:rPr>
          <w:rFonts w:hint="eastAsia" w:ascii="宋体" w:hAnsi="宋体" w:cs="Arial"/>
          <w:color w:val="auto"/>
          <w:szCs w:val="21"/>
          <w:highlight w:val="none"/>
          <w:lang w:eastAsia="zh-CN"/>
        </w:rPr>
        <w:t>提供的服务</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7D1A5BF2">
      <w:pPr>
        <w:numPr>
          <w:ilvl w:val="0"/>
          <w:numId w:val="0"/>
        </w:numPr>
        <w:tabs>
          <w:tab w:val="left" w:pos="1815"/>
        </w:tabs>
        <w:spacing w:line="360" w:lineRule="auto"/>
        <w:ind w:leftChars="0" w:firstLine="420" w:firstLineChars="200"/>
        <w:rPr>
          <w:rFonts w:ascii="宋体" w:hAnsi="宋体" w:cs="Arial"/>
          <w:color w:val="auto"/>
          <w:szCs w:val="21"/>
          <w:highlight w:val="none"/>
        </w:rPr>
      </w:pPr>
      <w:r>
        <w:rPr>
          <w:rFonts w:hint="eastAsia" w:ascii="宋体" w:hAnsi="宋体" w:cs="Arial"/>
          <w:color w:val="auto"/>
          <w:szCs w:val="21"/>
          <w:highlight w:val="none"/>
          <w:lang w:val="en-US" w:eastAsia="zh-CN"/>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w:t>
      </w:r>
      <w:r>
        <w:rPr>
          <w:rFonts w:hint="eastAsia" w:ascii="宋体" w:hAnsi="宋体" w:cs="Arial"/>
          <w:color w:val="auto"/>
          <w:szCs w:val="21"/>
          <w:highlight w:val="none"/>
          <w:lang w:eastAsia="zh-CN"/>
        </w:rPr>
        <w:t>提供服务</w:t>
      </w:r>
      <w:r>
        <w:rPr>
          <w:rFonts w:ascii="宋体" w:hAnsi="宋体" w:cs="Arial"/>
          <w:color w:val="auto"/>
          <w:szCs w:val="21"/>
          <w:highlight w:val="none"/>
        </w:rPr>
        <w:t>与“</w:t>
      </w:r>
      <w:r>
        <w:rPr>
          <w:rFonts w:hint="eastAsia" w:ascii="宋体" w:hAnsi="宋体"/>
          <w:color w:val="auto"/>
          <w:szCs w:val="21"/>
          <w:highlight w:val="none"/>
          <w:lang w:eastAsia="zh-CN"/>
        </w:rPr>
        <w:t>采购需求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C8EB110">
      <w:pPr>
        <w:pStyle w:val="8"/>
        <w:keepNext/>
        <w:keepLines/>
        <w:pageBreakBefore w:val="0"/>
        <w:widowControl w:val="0"/>
        <w:tabs>
          <w:tab w:val="left" w:pos="2730"/>
        </w:tabs>
        <w:kinsoku/>
        <w:wordWrap/>
        <w:overflowPunct/>
        <w:topLinePunct w:val="0"/>
        <w:autoSpaceDE/>
        <w:autoSpaceDN/>
        <w:bidi w:val="0"/>
        <w:adjustRightInd w:val="0"/>
        <w:snapToGrid/>
        <w:spacing w:before="0" w:after="0"/>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3、响应人应按照谈判文件要求提供证明材料。若响应人提供了谈判文件未要求的证明材料，谈判小组将不予评审。</w:t>
      </w:r>
    </w:p>
    <w:p w14:paraId="6D3E42EA">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30E1C2F1">
      <w:pPr>
        <w:pStyle w:val="8"/>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8"/>
        <w:numPr>
          <w:ilvl w:val="0"/>
          <w:numId w:val="4"/>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5"/>
    </w:p>
    <w:p w14:paraId="1BFC9716">
      <w:pPr>
        <w:pStyle w:val="4"/>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8"/>
        <w:tabs>
          <w:tab w:val="left" w:pos="2730"/>
        </w:tabs>
        <w:rPr>
          <w:rFonts w:ascii="宋体"/>
          <w:color w:val="auto"/>
          <w:szCs w:val="21"/>
          <w:highlight w:val="none"/>
        </w:rPr>
      </w:pPr>
    </w:p>
    <w:p w14:paraId="4072E3CD">
      <w:pPr>
        <w:pStyle w:val="8"/>
        <w:tabs>
          <w:tab w:val="left" w:pos="2730"/>
        </w:tabs>
        <w:rPr>
          <w:rFonts w:ascii="宋体"/>
          <w:color w:val="auto"/>
          <w:szCs w:val="21"/>
          <w:highlight w:val="none"/>
        </w:rPr>
      </w:pPr>
    </w:p>
    <w:p w14:paraId="1A0181B2">
      <w:pPr>
        <w:rPr>
          <w:color w:val="auto"/>
          <w:highlight w:val="none"/>
        </w:rPr>
      </w:pPr>
    </w:p>
    <w:bookmarkEnd w:id="116"/>
    <w:bookmarkEnd w:id="117"/>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8" w:name="_Toc20013"/>
      <w:bookmarkStart w:id="119"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5"/>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8"/>
      <w:bookmarkEnd w:id="119"/>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128C434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20" w:name="_Toc25547"/>
      <w:bookmarkStart w:id="121"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20"/>
      <w:bookmarkEnd w:id="121"/>
    </w:p>
    <w:p w14:paraId="797EFFB5">
      <w:pPr>
        <w:rPr>
          <w:rFonts w:ascii="仿宋" w:hAnsi="仿宋" w:eastAsia="仿宋" w:cs="仿宋"/>
          <w:b/>
          <w:bCs/>
          <w:color w:val="auto"/>
          <w:sz w:val="24"/>
          <w:highlight w:val="none"/>
        </w:rPr>
      </w:pPr>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74FD4ED0">
      <w:pPr>
        <w:rPr>
          <w:color w:val="auto"/>
          <w:highlight w:val="none"/>
        </w:rPr>
      </w:pPr>
    </w:p>
    <w:p w14:paraId="2EDE46D1">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2" w:name="_Toc7076"/>
    </w:p>
    <w:bookmarkEnd w:id="122"/>
    <w:p w14:paraId="71CA5805">
      <w:pPr>
        <w:pStyle w:val="8"/>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8"/>
        <w:shd w:val="clear" w:color="auto" w:fill="FFFFFF"/>
        <w:tabs>
          <w:tab w:val="left" w:pos="2730"/>
        </w:tabs>
        <w:jc w:val="center"/>
        <w:rPr>
          <w:rFonts w:hint="eastAsia"/>
          <w:color w:val="auto"/>
          <w:sz w:val="28"/>
          <w:szCs w:val="28"/>
          <w:highlight w:val="none"/>
          <w:lang w:val="en-US" w:eastAsia="zh-CN"/>
        </w:rPr>
      </w:pPr>
      <w:bookmarkStart w:id="123" w:name="_Toc9439"/>
      <w:r>
        <w:rPr>
          <w:rFonts w:hint="eastAsia"/>
          <w:color w:val="auto"/>
          <w:sz w:val="28"/>
          <w:szCs w:val="28"/>
          <w:highlight w:val="none"/>
          <w:lang w:val="en-US" w:eastAsia="zh-CN"/>
        </w:rPr>
        <w:t>八、残疾人福利性单位声明函</w:t>
      </w:r>
      <w:bookmarkEnd w:id="123"/>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16E98C22">
      <w:pPr>
        <w:pStyle w:val="8"/>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24" w:name="_Toc22272"/>
      <w:bookmarkStart w:id="125" w:name="_Toc26186"/>
    </w:p>
    <w:p w14:paraId="7F4F2ED1">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4"/>
      <w:bookmarkEnd w:id="125"/>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8"/>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32779F70">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2"/>
        <w:numPr>
          <w:ilvl w:val="0"/>
          <w:numId w:val="0"/>
        </w:numPr>
        <w:ind w:firstLine="320" w:firstLineChars="100"/>
        <w:jc w:val="center"/>
        <w:rPr>
          <w:color w:val="auto"/>
          <w:highlight w:val="none"/>
        </w:rPr>
      </w:pPr>
      <w:bookmarkStart w:id="126" w:name="_Toc8573"/>
      <w:bookmarkStart w:id="127" w:name="_Toc12703"/>
      <w:bookmarkStart w:id="128" w:name="_Toc2700"/>
      <w:bookmarkStart w:id="129"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126"/>
      <w:bookmarkEnd w:id="127"/>
      <w:bookmarkEnd w:id="128"/>
      <w:bookmarkEnd w:id="129"/>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7"/>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7"/>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7"/>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7"/>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7"/>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7"/>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7"/>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7"/>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7"/>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7"/>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7AAB2737"/>
    <w:multiLevelType w:val="singleLevel"/>
    <w:tmpl w:val="7AAB2737"/>
    <w:lvl w:ilvl="0" w:tentative="0">
      <w:start w:val="2"/>
      <w:numFmt w:val="chineseCounting"/>
      <w:suff w:val="nothing"/>
      <w:lvlText w:val="%1、"/>
      <w:lvlJc w:val="left"/>
      <w:rPr>
        <w:rFonts w:hint="eastAsia"/>
      </w:rPr>
    </w:lvl>
  </w:abstractNum>
  <w:abstractNum w:abstractNumId="3">
    <w:nsid w:val="7F8EED0D"/>
    <w:multiLevelType w:val="singleLevel"/>
    <w:tmpl w:val="7F8EED0D"/>
    <w:lvl w:ilvl="0" w:tentative="0">
      <w:start w:val="37"/>
      <w:numFmt w:val="decimal"/>
      <w:suff w:val="nothing"/>
      <w:lvlText w:val="%1、"/>
      <w:lvlJc w:val="left"/>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7C80EFB"/>
    <w:rsid w:val="0CEC743A"/>
    <w:rsid w:val="0CEE4F60"/>
    <w:rsid w:val="0D9D36B8"/>
    <w:rsid w:val="0F6634D4"/>
    <w:rsid w:val="10E24D87"/>
    <w:rsid w:val="119A1F8D"/>
    <w:rsid w:val="13750D6C"/>
    <w:rsid w:val="13C347B9"/>
    <w:rsid w:val="1A66331F"/>
    <w:rsid w:val="1E0104DD"/>
    <w:rsid w:val="1EA4741C"/>
    <w:rsid w:val="283C571B"/>
    <w:rsid w:val="289742A6"/>
    <w:rsid w:val="28C826B1"/>
    <w:rsid w:val="2CB85B3D"/>
    <w:rsid w:val="2D13017B"/>
    <w:rsid w:val="2E9279E9"/>
    <w:rsid w:val="30C62676"/>
    <w:rsid w:val="30FF6E8C"/>
    <w:rsid w:val="310E0E7D"/>
    <w:rsid w:val="31C10B12"/>
    <w:rsid w:val="36430797"/>
    <w:rsid w:val="388A16E7"/>
    <w:rsid w:val="3997185B"/>
    <w:rsid w:val="3CC75F2B"/>
    <w:rsid w:val="3DCE3E6E"/>
    <w:rsid w:val="43BE3353"/>
    <w:rsid w:val="43E61C01"/>
    <w:rsid w:val="443D4540"/>
    <w:rsid w:val="45553AE5"/>
    <w:rsid w:val="45F02040"/>
    <w:rsid w:val="46E24944"/>
    <w:rsid w:val="47727F60"/>
    <w:rsid w:val="478829C7"/>
    <w:rsid w:val="47D26073"/>
    <w:rsid w:val="47E75CBA"/>
    <w:rsid w:val="493F0316"/>
    <w:rsid w:val="4AF018C8"/>
    <w:rsid w:val="4B700D53"/>
    <w:rsid w:val="4C890BEE"/>
    <w:rsid w:val="4D317F5A"/>
    <w:rsid w:val="50FD7AEE"/>
    <w:rsid w:val="52021EE1"/>
    <w:rsid w:val="5322283B"/>
    <w:rsid w:val="536D2F2E"/>
    <w:rsid w:val="546D21DB"/>
    <w:rsid w:val="57C267FB"/>
    <w:rsid w:val="5A835ABE"/>
    <w:rsid w:val="5E677C9B"/>
    <w:rsid w:val="5EFB2A62"/>
    <w:rsid w:val="5F6917F1"/>
    <w:rsid w:val="609B620E"/>
    <w:rsid w:val="636232CE"/>
    <w:rsid w:val="644923E9"/>
    <w:rsid w:val="65271F32"/>
    <w:rsid w:val="66091AE9"/>
    <w:rsid w:val="66666A8A"/>
    <w:rsid w:val="68AB6E74"/>
    <w:rsid w:val="68B0223F"/>
    <w:rsid w:val="6C550632"/>
    <w:rsid w:val="742915A0"/>
    <w:rsid w:val="746F15A7"/>
    <w:rsid w:val="74BE7E3A"/>
    <w:rsid w:val="75B96BD7"/>
    <w:rsid w:val="7C42088B"/>
    <w:rsid w:val="7C686C61"/>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autoRedefine/>
    <w:semiHidden/>
    <w:unhideWhenUsed/>
    <w:qFormat/>
    <w:uiPriority w:val="99"/>
    <w:tblPr>
      <w:tblCellMar>
        <w:top w:w="0" w:type="dxa"/>
        <w:left w:w="108" w:type="dxa"/>
        <w:bottom w:w="0" w:type="dxa"/>
        <w:right w:w="108" w:type="dxa"/>
      </w:tblCellMar>
    </w:tblPr>
  </w:style>
  <w:style w:type="paragraph" w:styleId="4">
    <w:name w:val="Normal Indent"/>
    <w:basedOn w:val="1"/>
    <w:next w:val="5"/>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9"/>
    <w:autoRedefine/>
    <w:unhideWhenUsed/>
    <w:qFormat/>
    <w:uiPriority w:val="0"/>
    <w:pPr>
      <w:ind w:left="2730" w:hanging="2730" w:hangingChars="1365"/>
      <w:jc w:val="left"/>
    </w:pPr>
    <w:rPr>
      <w:sz w:val="20"/>
      <w:lang w:bidi="he-IL"/>
    </w:rPr>
  </w:style>
  <w:style w:type="paragraph" w:styleId="7">
    <w:name w:val="envelope return"/>
    <w:basedOn w:val="1"/>
    <w:autoRedefine/>
    <w:qFormat/>
    <w:uiPriority w:val="0"/>
    <w:pPr>
      <w:snapToGrid w:val="0"/>
    </w:pPr>
    <w:rPr>
      <w:rFonts w:ascii="Arial" w:hAnsi="Arial"/>
    </w:rPr>
  </w:style>
  <w:style w:type="paragraph" w:styleId="15">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23"/>
    <w:autoRedefine/>
    <w:unhideWhenUsed/>
    <w:qFormat/>
    <w:uiPriority w:val="0"/>
    <w:pPr>
      <w:adjustRightInd/>
      <w:spacing w:line="500" w:lineRule="exact"/>
      <w:jc w:val="left"/>
    </w:pPr>
    <w:rPr>
      <w:sz w:val="20"/>
    </w:rPr>
  </w:style>
  <w:style w:type="paragraph" w:styleId="17">
    <w:name w:val="Body Text 3"/>
    <w:basedOn w:val="1"/>
    <w:link w:val="79"/>
    <w:autoRedefine/>
    <w:semiHidden/>
    <w:unhideWhenUsed/>
    <w:qFormat/>
    <w:uiPriority w:val="99"/>
    <w:pPr>
      <w:spacing w:after="120"/>
    </w:pPr>
    <w:rPr>
      <w:sz w:val="16"/>
      <w:szCs w:val="16"/>
    </w:rPr>
  </w:style>
  <w:style w:type="paragraph" w:styleId="18">
    <w:name w:val="Body Text"/>
    <w:basedOn w:val="1"/>
    <w:link w:val="86"/>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24"/>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84"/>
    <w:autoRedefine/>
    <w:semiHidden/>
    <w:unhideWhenUsed/>
    <w:qFormat/>
    <w:uiPriority w:val="99"/>
    <w:pPr>
      <w:ind w:left="100" w:leftChars="2500"/>
    </w:pPr>
  </w:style>
  <w:style w:type="paragraph" w:styleId="25">
    <w:name w:val="Body Text Indent 2"/>
    <w:basedOn w:val="1"/>
    <w:link w:val="82"/>
    <w:autoRedefine/>
    <w:unhideWhenUsed/>
    <w:qFormat/>
    <w:uiPriority w:val="99"/>
    <w:pPr>
      <w:spacing w:after="120" w:line="480" w:lineRule="auto"/>
      <w:ind w:left="420" w:leftChars="200"/>
      <w:jc w:val="left"/>
    </w:pPr>
  </w:style>
  <w:style w:type="paragraph" w:styleId="26">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34"/>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93"/>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TML Definition"/>
    <w:basedOn w:val="41"/>
    <w:semiHidden/>
    <w:unhideWhenUsed/>
    <w:qFormat/>
    <w:uiPriority w:val="99"/>
  </w:style>
  <w:style w:type="character" w:styleId="45">
    <w:name w:val="HTML Typewriter"/>
    <w:basedOn w:val="41"/>
    <w:semiHidden/>
    <w:unhideWhenUsed/>
    <w:qFormat/>
    <w:uiPriority w:val="99"/>
    <w:rPr>
      <w:rFonts w:ascii="monospace" w:hAnsi="monospace" w:eastAsia="monospace" w:cs="monospace"/>
      <w:sz w:val="20"/>
    </w:rPr>
  </w:style>
  <w:style w:type="character" w:styleId="46">
    <w:name w:val="HTML Acronym"/>
    <w:basedOn w:val="41"/>
    <w:semiHidden/>
    <w:unhideWhenUsed/>
    <w:qFormat/>
    <w:uiPriority w:val="99"/>
  </w:style>
  <w:style w:type="character" w:styleId="47">
    <w:name w:val="HTML Variable"/>
    <w:basedOn w:val="41"/>
    <w:semiHidden/>
    <w:unhideWhenUsed/>
    <w:qFormat/>
    <w:uiPriority w:val="99"/>
  </w:style>
  <w:style w:type="character" w:styleId="48">
    <w:name w:val="Hyperlink"/>
    <w:basedOn w:val="41"/>
    <w:autoRedefine/>
    <w:unhideWhenUsed/>
    <w:qFormat/>
    <w:uiPriority w:val="99"/>
    <w:rPr>
      <w:color w:val="0000FF" w:themeColor="hyperlink"/>
      <w:u w:val="single"/>
      <w14:textFill>
        <w14:solidFill>
          <w14:schemeClr w14:val="hlink"/>
        </w14:solidFill>
      </w14:textFill>
    </w:rPr>
  </w:style>
  <w:style w:type="character" w:styleId="49">
    <w:name w:val="HTML Code"/>
    <w:basedOn w:val="41"/>
    <w:semiHidden/>
    <w:unhideWhenUsed/>
    <w:qFormat/>
    <w:uiPriority w:val="99"/>
    <w:rPr>
      <w:rFonts w:hint="default" w:ascii="monospace" w:hAnsi="monospace" w:eastAsia="monospace" w:cs="monospace"/>
      <w:sz w:val="20"/>
    </w:rPr>
  </w:style>
  <w:style w:type="character" w:styleId="50">
    <w:name w:val="annotation reference"/>
    <w:autoRedefine/>
    <w:semiHidden/>
    <w:qFormat/>
    <w:uiPriority w:val="0"/>
    <w:rPr>
      <w:sz w:val="21"/>
      <w:szCs w:val="21"/>
    </w:rPr>
  </w:style>
  <w:style w:type="character" w:styleId="51">
    <w:name w:val="HTML Cite"/>
    <w:basedOn w:val="41"/>
    <w:semiHidden/>
    <w:unhideWhenUsed/>
    <w:qFormat/>
    <w:uiPriority w:val="99"/>
  </w:style>
  <w:style w:type="character" w:styleId="52">
    <w:name w:val="footnote reference"/>
    <w:autoRedefine/>
    <w:qFormat/>
    <w:uiPriority w:val="0"/>
    <w:rPr>
      <w:vertAlign w:val="superscript"/>
    </w:rPr>
  </w:style>
  <w:style w:type="character" w:styleId="53">
    <w:name w:val="HTML Keyboard"/>
    <w:basedOn w:val="41"/>
    <w:semiHidden/>
    <w:unhideWhenUsed/>
    <w:qFormat/>
    <w:uiPriority w:val="99"/>
    <w:rPr>
      <w:rFonts w:hint="default" w:ascii="monospace" w:hAnsi="monospace" w:eastAsia="monospace" w:cs="monospace"/>
      <w:sz w:val="20"/>
    </w:rPr>
  </w:style>
  <w:style w:type="character" w:styleId="54">
    <w:name w:val="HTML Sample"/>
    <w:basedOn w:val="41"/>
    <w:semiHidden/>
    <w:unhideWhenUsed/>
    <w:qFormat/>
    <w:uiPriority w:val="99"/>
    <w:rPr>
      <w:rFonts w:hint="default" w:ascii="monospace" w:hAnsi="monospace" w:eastAsia="monospace" w:cs="monospace"/>
    </w:rPr>
  </w:style>
  <w:style w:type="paragraph" w:customStyle="1" w:styleId="55">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1"/>
    <w:link w:val="10"/>
    <w:autoRedefine/>
    <w:qFormat/>
    <w:uiPriority w:val="9"/>
    <w:rPr>
      <w:rFonts w:ascii="Times New Roman" w:hAnsi="Times New Roman" w:eastAsia="宋体" w:cs="Times New Roman"/>
      <w:b/>
      <w:bCs/>
      <w:sz w:val="28"/>
      <w:szCs w:val="28"/>
    </w:rPr>
  </w:style>
  <w:style w:type="character" w:customStyle="1" w:styleId="62">
    <w:name w:val="标题 6 字符"/>
    <w:basedOn w:val="41"/>
    <w:link w:val="11"/>
    <w:autoRedefine/>
    <w:qFormat/>
    <w:uiPriority w:val="9"/>
    <w:rPr>
      <w:rFonts w:ascii="Arial" w:hAnsi="Arial" w:eastAsia="黑体" w:cs="Times New Roman"/>
      <w:b/>
      <w:bCs/>
      <w:sz w:val="24"/>
      <w:szCs w:val="24"/>
    </w:rPr>
  </w:style>
  <w:style w:type="character" w:customStyle="1" w:styleId="63">
    <w:name w:val="标题 7 字符"/>
    <w:basedOn w:val="41"/>
    <w:link w:val="12"/>
    <w:autoRedefine/>
    <w:qFormat/>
    <w:uiPriority w:val="0"/>
    <w:rPr>
      <w:rFonts w:ascii="Times New Roman" w:hAnsi="Times New Roman" w:eastAsia="宋体" w:cs="Times New Roman"/>
      <w:b/>
      <w:bCs/>
      <w:sz w:val="24"/>
      <w:szCs w:val="24"/>
    </w:rPr>
  </w:style>
  <w:style w:type="character" w:customStyle="1" w:styleId="64">
    <w:name w:val="标题 8 字符"/>
    <w:basedOn w:val="41"/>
    <w:link w:val="13"/>
    <w:autoRedefine/>
    <w:qFormat/>
    <w:uiPriority w:val="0"/>
    <w:rPr>
      <w:rFonts w:ascii="Arial" w:hAnsi="Arial" w:eastAsia="黑体" w:cs="Times New Roman"/>
      <w:sz w:val="24"/>
      <w:szCs w:val="24"/>
    </w:rPr>
  </w:style>
  <w:style w:type="character" w:customStyle="1" w:styleId="65">
    <w:name w:val="标题 9 字符"/>
    <w:basedOn w:val="41"/>
    <w:link w:val="14"/>
    <w:autoRedefine/>
    <w:qFormat/>
    <w:uiPriority w:val="9"/>
    <w:rPr>
      <w:rFonts w:ascii="Arial" w:hAnsi="Arial" w:eastAsia="黑体" w:cs="Times New Roman"/>
      <w:szCs w:val="21"/>
    </w:rPr>
  </w:style>
  <w:style w:type="character" w:customStyle="1" w:styleId="66">
    <w:name w:val="页眉 字符"/>
    <w:basedOn w:val="41"/>
    <w:link w:val="28"/>
    <w:autoRedefine/>
    <w:qFormat/>
    <w:uiPriority w:val="0"/>
    <w:rPr>
      <w:sz w:val="18"/>
      <w:szCs w:val="18"/>
    </w:rPr>
  </w:style>
  <w:style w:type="character" w:customStyle="1" w:styleId="67">
    <w:name w:val="页脚 字符"/>
    <w:basedOn w:val="41"/>
    <w:link w:val="27"/>
    <w:autoRedefine/>
    <w:qFormat/>
    <w:uiPriority w:val="0"/>
    <w:rPr>
      <w:sz w:val="18"/>
      <w:szCs w:val="18"/>
    </w:rPr>
  </w:style>
  <w:style w:type="character" w:customStyle="1" w:styleId="68">
    <w:name w:val="批注框文本 字符"/>
    <w:basedOn w:val="41"/>
    <w:link w:val="26"/>
    <w:autoRedefine/>
    <w:semiHidden/>
    <w:qFormat/>
    <w:uiPriority w:val="99"/>
    <w:rPr>
      <w:sz w:val="18"/>
      <w:szCs w:val="18"/>
    </w:rPr>
  </w:style>
  <w:style w:type="character" w:customStyle="1" w:styleId="69">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80">
    <w:name w:val="fontstyle01"/>
    <w:basedOn w:val="41"/>
    <w:autoRedefine/>
    <w:qFormat/>
    <w:uiPriority w:val="0"/>
    <w:rPr>
      <w:rFonts w:hint="eastAsia" w:ascii="宋体" w:hAnsi="宋体" w:eastAsia="宋体"/>
      <w:color w:val="000000"/>
      <w:sz w:val="44"/>
      <w:szCs w:val="44"/>
    </w:rPr>
  </w:style>
  <w:style w:type="character" w:customStyle="1" w:styleId="81">
    <w:name w:val="fontstyle21"/>
    <w:basedOn w:val="41"/>
    <w:autoRedefine/>
    <w:qFormat/>
    <w:uiPriority w:val="0"/>
    <w:rPr>
      <w:rFonts w:hint="default" w:ascii="Wingdings-Regular" w:hAnsi="Wingdings-Regular"/>
      <w:color w:val="000000"/>
      <w:sz w:val="22"/>
      <w:szCs w:val="22"/>
    </w:rPr>
  </w:style>
  <w:style w:type="character" w:customStyle="1" w:styleId="82">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83">
    <w:name w:val="Unresolved Mention"/>
    <w:basedOn w:val="41"/>
    <w:autoRedefine/>
    <w:semiHidden/>
    <w:unhideWhenUsed/>
    <w:qFormat/>
    <w:uiPriority w:val="99"/>
    <w:rPr>
      <w:color w:val="605E5C"/>
      <w:shd w:val="clear" w:color="auto" w:fill="E1DFDD"/>
    </w:rPr>
  </w:style>
  <w:style w:type="character" w:customStyle="1" w:styleId="84">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85">
    <w:name w:val="正文缩进 字符"/>
    <w:link w:val="4"/>
    <w:autoRedefine/>
    <w:qFormat/>
    <w:uiPriority w:val="0"/>
    <w:rPr>
      <w:rFonts w:ascii="宋体"/>
      <w:sz w:val="24"/>
    </w:rPr>
  </w:style>
  <w:style w:type="character" w:customStyle="1" w:styleId="86">
    <w:name w:val="正文文本 字符"/>
    <w:basedOn w:val="41"/>
    <w:link w:val="18"/>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5"/>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8"/>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24">
    <w:name w:val="纯文本 字符"/>
    <w:basedOn w:val="41"/>
    <w:link w:val="22"/>
    <w:autoRedefine/>
    <w:qFormat/>
    <w:uiPriority w:val="0"/>
    <w:rPr>
      <w:rFonts w:ascii="宋体" w:hAnsi="Courier New" w:eastAsia="宋体" w:cs="Times New Roman"/>
      <w:kern w:val="0"/>
      <w:szCs w:val="20"/>
    </w:rPr>
  </w:style>
  <w:style w:type="character" w:customStyle="1" w:styleId="125">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26">
    <w:name w:val="font41"/>
    <w:basedOn w:val="41"/>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1"/>
    <w:autoRedefine/>
    <w:qFormat/>
    <w:uiPriority w:val="0"/>
    <w:rPr>
      <w:rFonts w:hint="eastAsia" w:ascii="宋体" w:hAnsi="宋体" w:eastAsia="宋体"/>
      <w:b/>
      <w:color w:val="000000"/>
      <w:kern w:val="2"/>
      <w:sz w:val="18"/>
      <w:u w:val="none"/>
    </w:rPr>
  </w:style>
  <w:style w:type="paragraph" w:customStyle="1" w:styleId="130">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1"/>
    <w:qFormat/>
    <w:uiPriority w:val="0"/>
  </w:style>
  <w:style w:type="character" w:customStyle="1" w:styleId="142">
    <w:name w:val="layui-layer-tabnow"/>
    <w:basedOn w:val="41"/>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43</Pages>
  <Words>13512</Words>
  <Characters>14272</Characters>
  <Lines>29</Lines>
  <Paragraphs>8</Paragraphs>
  <TotalTime>12</TotalTime>
  <ScaleCrop>false</ScaleCrop>
  <LinksUpToDate>false</LinksUpToDate>
  <CharactersWithSpaces>14582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2024-12-10T07:41:44Z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3C010B33C0094C32B7C0B088AA8BE7B5_13</vt:lpwstr>
  </property>
</Properties>
</file>