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桐城师范高等专科学校入馆教育采购需求</w:t>
      </w:r>
    </w:p>
    <w:p>
      <w:pPr>
        <w:pStyle w:val="9"/>
        <w:numPr>
          <w:ilvl w:val="0"/>
          <w:numId w:val="1"/>
        </w:numPr>
        <w:ind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总体要求</w:t>
      </w:r>
    </w:p>
    <w:p>
      <w:pPr>
        <w:spacing w:line="360" w:lineRule="auto"/>
        <w:ind w:firstLine="500"/>
        <w:jc w:val="left"/>
        <w:rPr>
          <w:rFonts w:cs="宋体" w:asciiTheme="minorEastAsia" w:hAnsiTheme="minorEastAsia"/>
          <w:color w:val="131B26"/>
          <w:szCs w:val="21"/>
          <w:shd w:val="clear" w:color="auto" w:fill="FFFFFF"/>
        </w:rPr>
      </w:pPr>
      <w:r>
        <w:rPr>
          <w:rFonts w:hint="eastAsia" w:cs="宋体" w:asciiTheme="minorEastAsia" w:hAnsiTheme="minorEastAsia"/>
          <w:color w:val="131B26"/>
          <w:szCs w:val="21"/>
          <w:shd w:val="clear" w:color="auto" w:fill="FFFFFF"/>
        </w:rPr>
        <w:t>图书馆入馆教育，</w:t>
      </w:r>
      <w:r>
        <w:rPr>
          <w:rFonts w:hint="eastAsia" w:cs="宋体" w:asciiTheme="minorEastAsia" w:hAnsiTheme="minorEastAsia"/>
          <w:color w:val="131B26"/>
          <w:szCs w:val="21"/>
          <w:shd w:val="clear" w:color="auto" w:fill="FFFFFF"/>
          <w:lang w:val="en-US" w:eastAsia="zh-CN"/>
        </w:rPr>
        <w:t>旨在</w:t>
      </w:r>
      <w:r>
        <w:rPr>
          <w:rFonts w:hint="eastAsia" w:cs="宋体" w:asciiTheme="minorEastAsia" w:hAnsiTheme="minorEastAsia"/>
          <w:color w:val="131B26"/>
          <w:szCs w:val="21"/>
          <w:shd w:val="clear" w:color="auto" w:fill="FFFFFF"/>
        </w:rPr>
        <w:t>让读者全面地理解图书馆，熟习图书馆各类信息资源</w:t>
      </w:r>
      <w:r>
        <w:rPr>
          <w:rFonts w:hint="eastAsia" w:cs="宋体" w:asciiTheme="minorEastAsia" w:hAnsiTheme="minorEastAsia"/>
          <w:color w:val="131B26"/>
          <w:szCs w:val="21"/>
          <w:shd w:val="clear" w:color="auto" w:fill="FFFFFF"/>
          <w:lang w:eastAsia="zh-CN"/>
        </w:rPr>
        <w:t>、</w:t>
      </w:r>
      <w:r>
        <w:rPr>
          <w:rFonts w:hint="eastAsia" w:cs="宋体" w:asciiTheme="minorEastAsia" w:hAnsiTheme="minorEastAsia"/>
          <w:color w:val="131B26"/>
          <w:szCs w:val="21"/>
          <w:shd w:val="clear" w:color="auto" w:fill="FFFFFF"/>
          <w:lang w:val="en-US" w:eastAsia="zh-CN"/>
        </w:rPr>
        <w:t>空间、</w:t>
      </w:r>
      <w:r>
        <w:rPr>
          <w:rFonts w:hint="eastAsia" w:cs="宋体" w:asciiTheme="minorEastAsia" w:hAnsiTheme="minorEastAsia"/>
          <w:color w:val="131B26"/>
          <w:szCs w:val="21"/>
          <w:shd w:val="clear" w:color="auto" w:fill="FFFFFF"/>
        </w:rPr>
        <w:t>设备</w:t>
      </w:r>
      <w:r>
        <w:rPr>
          <w:rFonts w:hint="eastAsia" w:cs="宋体" w:asciiTheme="minorEastAsia" w:hAnsiTheme="minorEastAsia"/>
          <w:color w:val="131B26"/>
          <w:szCs w:val="21"/>
          <w:shd w:val="clear" w:color="auto" w:fill="FFFFFF"/>
          <w:lang w:val="en-US" w:eastAsia="zh-CN"/>
        </w:rPr>
        <w:t>等</w:t>
      </w:r>
      <w:r>
        <w:rPr>
          <w:rFonts w:hint="eastAsia" w:cs="宋体" w:asciiTheme="minorEastAsia" w:hAnsiTheme="minorEastAsia"/>
          <w:color w:val="131B26"/>
          <w:szCs w:val="21"/>
          <w:shd w:val="clear" w:color="auto" w:fill="FFFFFF"/>
        </w:rPr>
        <w:t>，通过活动及闯关的模式，增强了入馆教育的趣味性、持久性，且可以有效地调动读者学习入馆教育知识的积极性，</w:t>
      </w:r>
      <w:r>
        <w:rPr>
          <w:rFonts w:hint="eastAsia" w:cs="宋体" w:asciiTheme="minorEastAsia" w:hAnsiTheme="minorEastAsia"/>
          <w:color w:val="131B26"/>
          <w:szCs w:val="21"/>
          <w:shd w:val="clear" w:color="auto" w:fill="FFFFFF"/>
          <w:lang w:val="en-US" w:eastAsia="zh-CN"/>
        </w:rPr>
        <w:t>提升读者使用图书馆的兴趣和意愿，培养读者爱阅读、善阅读的习惯，</w:t>
      </w:r>
      <w:r>
        <w:rPr>
          <w:rFonts w:hint="eastAsia" w:cs="宋体" w:asciiTheme="minorEastAsia" w:hAnsiTheme="minorEastAsia"/>
          <w:color w:val="131B26"/>
          <w:szCs w:val="21"/>
          <w:shd w:val="clear" w:color="auto" w:fill="FFFFFF"/>
        </w:rPr>
        <w:t>营</w:t>
      </w:r>
      <w:r>
        <w:rPr>
          <w:szCs w:val="21"/>
        </w:rPr>
        <w:t>造一个不断满足</w:t>
      </w:r>
      <w:r>
        <w:rPr>
          <w:rFonts w:hint="eastAsia"/>
          <w:szCs w:val="21"/>
        </w:rPr>
        <w:t>读者</w:t>
      </w:r>
      <w:r>
        <w:rPr>
          <w:szCs w:val="21"/>
        </w:rPr>
        <w:t>需求变化的高度自适应的智慧图书馆。</w:t>
      </w:r>
    </w:p>
    <w:p>
      <w:pPr>
        <w:pStyle w:val="9"/>
        <w:numPr>
          <w:ilvl w:val="0"/>
          <w:numId w:val="1"/>
        </w:numPr>
        <w:ind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技术要求</w:t>
      </w:r>
    </w:p>
    <w:tbl>
      <w:tblPr>
        <w:tblStyle w:val="5"/>
        <w:tblW w:w="9655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"/>
        <w:gridCol w:w="1529"/>
        <w:gridCol w:w="77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6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功能参数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平台架构</w:t>
            </w: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1.平台和系统均要求采用B/S结构，可运行于</w:t>
            </w: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</w:rPr>
              <w:t>Unix、Linux、Windows</w:t>
            </w:r>
            <w:r>
              <w:rPr>
                <w:rFonts w:hint="eastAsia" w:cs="宋体" w:asciiTheme="minorEastAsia" w:hAnsiTheme="minorEastAsia"/>
                <w:color w:val="FF0000"/>
                <w:kern w:val="0"/>
                <w:szCs w:val="21"/>
                <w:lang w:val="en-US" w:eastAsia="zh-CN"/>
              </w:rPr>
              <w:t>及国产主流操作系统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等高安全性操作系统。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★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2.系统应使用微服务分布式架构。应提供服务治理模块管理各微服务模块，提供服务间的相互发现和故障转移。系统应可通过添加硬件设施的方式实现系统的扩容，可提供模块访问的负载均衡。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3.系统应提供多租户的方式，同时能通过应用共享的方式保障系统的快速迭代响应。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4.提供移动端APP客户端，移动端APP应用支持安卓、IOS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及主流手机操作系统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。APP支持设置护眼模式，清空缓存信息，支持中英文语言设置。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★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5.支持与学校正在使用的移动阅读平台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或图书馆微信公众号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进行对接，能够实现统一身份认证，数据同步。报价包含完成本项目所产生的一切费用，履约期间采购人不再追加任何费用，投标人报价时综合考虑报价风险。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功能</w:t>
            </w: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1.支持灵活配置活动内容，包括活动时间、活动介绍、每日答题次数、总排行名次等。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2.支持上传活动首页及各关卡的页面元素，可体现本馆特色。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3.支持设置关卡规则，包括题目数量，每关答题时间，每题分数、通关分数、本关排行展示名次、学习资源链接（图书链接、视频链接、图文链接）等。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4.支持读者上传自己的题库，</w:t>
            </w:r>
            <w:r>
              <w:rPr>
                <w:rFonts w:hint="eastAsia" w:cs="Calibri" w:asciiTheme="minorEastAsia" w:hAnsiTheme="minorEastAsia"/>
                <w:color w:val="000000"/>
                <w:kern w:val="0"/>
                <w:szCs w:val="21"/>
              </w:rPr>
              <w:t>支持读者依次答题通关解锁下一关卡。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5.读者通关全部关卡后，可通过对接图书馆管理系统来实现自动激活该学生读者证号。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6.读者可在不同关卡中对不同的入馆教育知识进行答题，各关卡可生成相应的排名，排名依据依次为通关分数、通关时间。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7.读者可在活动中查看总排行，排名依据依次为通关关卡数、通关总分数、通关总时间，读者可在不同关卡中学习不同的入馆教育知识。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活动引擎</w:t>
            </w: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1.APP端、小程序端提供作品征集平台，支持上传图片、文字、视频等格式的作品，可设置对作品的投票、点赞、评论等操作权限。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★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2.APP端支持配置阅读积分大赛，通过看视频、做测评、读经典、观直播等获得积分，进行新生活动排行。（1）提供阅读积分资源内容，书籍数量不少于200本，名师导读视频资源不少于50集，测试题目不少于400条，包含国学经典、中国文学、世界文学、人类思想、历史文明、艺术审美、科学技术、经济社会等不同类型的资源目录体系。（2）支持单位自定义学习时间，以及定制个性化学习内容。（3）支持根据单位要求进行积分规则和达标积分数进行设置，支持对总积分、观看视频、阅读、答题的积分下线设置，支持获得每日积分的上线设置。支持对登录、视频观看、阅读、答题讨论、笔记等考核维度和积分规则设置。（4）支持视频视频中加入测试题目，用户必须回答正确才能继续观看。（5）学生在线学习时需支持进度记忆，视频支持防止拖拽，支持当前活动窗口探测，防止观看视频或电子书阅读时进行其他活动。系统支持视频取消防拖拽功能；支持长时间无活动自动停止播放，电子书阅读无翻页不记录阅读时长。（6）支持手机和平板、pc设备。移动端与PC端学习进度、学习数据保持同步。（7）平台支持学生信息数据与学习积分的统一导出。（8）支持根据学生的使用和学习行为，按照预设的积分规则，进行积分换算，统计记录学生的学习轨迹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3.APP端、小程序端提供图书共读功能，通过共同阅读一本书深入了解原著，支持打卡、书评、排行。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4.APP端、小程序端提供朗读模块，可以生成朗读作品，进行分享。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后台管理</w:t>
            </w: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★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1.统一身份认证：界面要求自适应手机终端尺寸，符合手机用户使用习惯。除提供基于安卓、苹果系统的客户端外，还需提供小程序、微信公众号建设，实现全终端覆盖。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2.用户管理：支持增、删、查、改读者、工作人员信息，支持批量修改用户信息；支持停用工作人员，停用后将失去登录权限；可以自定义工作人员角色、工作台；一个用户支持指定多角色，分配多工作台；手机号做脱敏处理；支持在新建新工作人员时，使用老用户参数配置文件覆盖新工作人员的个人参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3.角色管理：支持单位根据自身需求增、删、改、查角色；每个角色支持单独管理角色对应的菜单访问权限与功能权限；一个用户支持多个角色。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4.组织架构：支持针对不同场景，创建多套组织架构；支持通过手动单个添加和批量导入的方式建设组织架构，组织架构支持多级架构；每个组织架构部门支持自定义部门名称、增删改部门下成员、设置部门主管；支持按部门管理，部门主管仅能管理自己所负责的部门用户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5.支持给不同角色的用户配置不同的移动端页面（如教师、学生和馆员），可编辑各角色移动端页面的显示名称、邀请码等，允许通过邀请码加入单位。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6.应用管理：支持学校管理员自主从应用中心添加单位应用，并为应用设置应用管理员。指定应用所属分类，并对分类进行编辑、删除、上/下移动操作；支持对应用进行跨分类拖拽排序。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★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7.提供多种应用引擎建立个性化应用。引擎包括不限于表单、预约、信息查询、图表、资讯采集、知识挑战、共读、活动、专题资源等几种类型。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8.后台支持查看读者总排行及关卡排行。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826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9.后台支持查看入馆活动数据，包括读者基本信息及排行信息，支持信息导出。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RFID标签采购</w:t>
            </w:r>
          </w:p>
          <w:p>
            <w:pPr>
              <w:widowControl/>
              <w:jc w:val="left"/>
              <w:rPr>
                <w:rFonts w:hint="default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val="en-US" w:eastAsia="zh-CN"/>
              </w:rPr>
              <w:t>（15000枚）</w:t>
            </w:r>
          </w:p>
        </w:tc>
        <w:tc>
          <w:tcPr>
            <w:tcW w:w="8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1.技术参数:</w:t>
            </w:r>
          </w:p>
          <w:p>
            <w:pPr>
              <w:spacing w:line="360" w:lineRule="auto"/>
              <w:ind w:left="480"/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1.1符合标准:ISO/IEC 18000-6C，EPC-C0,C1,C2,G2；</w:t>
            </w:r>
          </w:p>
          <w:p>
            <w:pPr>
              <w:spacing w:line="360" w:lineRule="auto"/>
              <w:ind w:left="480"/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1.2.工作频率:860～960MHz；</w:t>
            </w:r>
          </w:p>
          <w:p>
            <w:pPr>
              <w:spacing w:line="360" w:lineRule="auto"/>
              <w:ind w:left="480"/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1.3.标签内存容量:≥128bits；</w:t>
            </w:r>
          </w:p>
          <w:p>
            <w:pPr>
              <w:spacing w:line="360" w:lineRule="auto"/>
              <w:ind w:left="480"/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1.4.规格:≥120×3mm；</w:t>
            </w:r>
          </w:p>
          <w:p>
            <w:pPr>
              <w:spacing w:line="360" w:lineRule="auto"/>
              <w:ind w:left="480"/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1.5.读取距离:0m～10m（与读写器相关） ；</w:t>
            </w:r>
          </w:p>
          <w:p>
            <w:pPr>
              <w:spacing w:line="360" w:lineRule="auto"/>
              <w:ind w:left="480"/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 xml:space="preserve">1.6.写入距离:0m～8m（与读写器相关）； </w:t>
            </w:r>
          </w:p>
          <w:p>
            <w:pPr>
              <w:spacing w:line="360" w:lineRule="auto"/>
              <w:ind w:left="480"/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1.7.防冲突性:允许工作区间内多个标签的可靠识读；</w:t>
            </w:r>
          </w:p>
          <w:p>
            <w:pPr>
              <w:spacing w:line="360" w:lineRule="auto"/>
              <w:ind w:left="480"/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1.8.数据存储: ≥10 年；</w:t>
            </w:r>
          </w:p>
          <w:p>
            <w:pPr>
              <w:spacing w:line="360" w:lineRule="auto"/>
              <w:ind w:left="480"/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1.9.有效使用次数: ≥10万次读取，10万次写入。</w:t>
            </w:r>
          </w:p>
          <w:p>
            <w:pPr>
              <w:spacing w:line="360" w:lineRule="auto"/>
              <w:rPr>
                <w:rFonts w:hint="default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产品功能：</w:t>
            </w:r>
          </w:p>
          <w:p>
            <w:pPr>
              <w:spacing w:line="360" w:lineRule="auto"/>
              <w:ind w:left="480"/>
              <w:rPr>
                <w:rFonts w:hint="default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1.有一定的抗冲突性，具有较高的安全性，防止存储在其中的信息资料被非法读写；</w:t>
            </w:r>
          </w:p>
          <w:p>
            <w:pPr>
              <w:spacing w:line="360" w:lineRule="auto"/>
              <w:ind w:left="480"/>
              <w:rPr>
                <w:rFonts w:hint="default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2.具有不可改写的唯一序列号(UID)供识别和加密；</w:t>
            </w:r>
          </w:p>
          <w:p>
            <w:pPr>
              <w:spacing w:line="360" w:lineRule="auto"/>
              <w:ind w:left="480"/>
              <w:rPr>
                <w:rFonts w:hint="default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3.标签采用AFI位或EAS作为防盗的安全标志方法，标志位可由用户自由修改；</w:t>
            </w:r>
          </w:p>
          <w:p>
            <w:pPr>
              <w:spacing w:line="360" w:lineRule="auto"/>
              <w:ind w:left="480"/>
              <w:rPr>
                <w:rFonts w:hint="default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4.标签采用无基材双面水性粘胶，粘贴后不易撕毁脱落保证在质保期内不开胶脱落，对图书及其它介质黏贴表面无损害，所用胶水在规定环境温度范围内的高温下不出现溢流现象；</w:t>
            </w:r>
          </w:p>
          <w:p>
            <w:pPr>
              <w:spacing w:line="360" w:lineRule="auto"/>
              <w:ind w:left="480"/>
              <w:rPr>
                <w:rFonts w:hint="default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5.具备防磁条干扰设计，减少磁条对标签的干扰：</w:t>
            </w:r>
          </w:p>
          <w:p>
            <w:pPr>
              <w:spacing w:line="360" w:lineRule="auto"/>
              <w:ind w:left="480"/>
              <w:rPr>
                <w:rFonts w:hint="default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6.提供最优化的数据结构存储方案和存取管理程序，优化读取速度，提高处理的效率</w:t>
            </w:r>
          </w:p>
          <w:p>
            <w:pPr>
              <w:spacing w:line="360" w:lineRule="auto"/>
              <w:rPr>
                <w:rFonts w:hint="default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3.采购标签必须经采购人确认能够在采购人图书馆RFID智能管理系统环境下使用。</w:t>
            </w:r>
          </w:p>
        </w:tc>
      </w:tr>
    </w:tbl>
    <w:p>
      <w:pPr>
        <w:pStyle w:val="9"/>
        <w:numPr>
          <w:ilvl w:val="0"/>
          <w:numId w:val="0"/>
        </w:numPr>
        <w:ind w:leftChars="0"/>
        <w:rPr>
          <w:b/>
          <w:sz w:val="28"/>
          <w:szCs w:val="28"/>
        </w:rPr>
      </w:pPr>
    </w:p>
    <w:p>
      <w:pPr>
        <w:pStyle w:val="9"/>
        <w:numPr>
          <w:ilvl w:val="0"/>
          <w:numId w:val="0"/>
        </w:numPr>
        <w:ind w:leftChars="0"/>
        <w:rPr>
          <w:b/>
          <w:sz w:val="28"/>
          <w:szCs w:val="28"/>
        </w:rPr>
      </w:pPr>
    </w:p>
    <w:p>
      <w:pPr>
        <w:pStyle w:val="9"/>
        <w:numPr>
          <w:ilvl w:val="0"/>
          <w:numId w:val="0"/>
        </w:numPr>
        <w:ind w:leftChars="0"/>
        <w:rPr>
          <w:b/>
          <w:sz w:val="28"/>
          <w:szCs w:val="28"/>
        </w:rPr>
      </w:pPr>
    </w:p>
    <w:p>
      <w:pPr>
        <w:pStyle w:val="9"/>
        <w:numPr>
          <w:ilvl w:val="0"/>
          <w:numId w:val="0"/>
        </w:numPr>
        <w:ind w:leftChars="0"/>
        <w:rPr>
          <w:b/>
          <w:sz w:val="28"/>
          <w:szCs w:val="28"/>
        </w:rPr>
      </w:pPr>
    </w:p>
    <w:p>
      <w:pPr>
        <w:pStyle w:val="12"/>
        <w:ind w:firstLine="643" w:firstLineChars="20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三、</w:t>
      </w:r>
      <w:r>
        <w:rPr>
          <w:rFonts w:hint="eastAsia" w:asciiTheme="minorEastAsia" w:hAnsiTheme="minorEastAsia" w:eastAsiaTheme="minorEastAsia"/>
          <w:color w:val="FF0000"/>
          <w:lang w:val="en-US" w:eastAsia="zh-CN"/>
        </w:rPr>
        <w:t>报价要求</w:t>
      </w:r>
      <w:r>
        <w:rPr>
          <w:rFonts w:hint="eastAsia" w:asciiTheme="minorEastAsia" w:hAnsiTheme="minorEastAsia" w:eastAsiaTheme="minorEastAsia"/>
          <w:color w:val="FF0000"/>
        </w:rPr>
        <w:t xml:space="preserve"> 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FF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本项目</w:t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  <w:lang w:val="en-US" w:eastAsia="zh-CN"/>
        </w:rPr>
        <w:t>总预算10</w:t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万，包含完成本项目第一年建设总费用（包括服务期限内提供的服务所发生的费用</w:t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  <w:lang w:val="en-US" w:eastAsia="zh-CN"/>
        </w:rPr>
        <w:t>相关系统/设备对接费用等</w:t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服务期结束后</w:t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  <w:lang w:val="en-US" w:eastAsia="zh-CN"/>
        </w:rPr>
        <w:t>除合同约定的</w:t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系统更新维护费用</w:t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  <w:lang w:val="en-US" w:eastAsia="zh-CN"/>
        </w:rPr>
        <w:t>不得高于2万元/年）外</w:t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，不再收取任何其余费用，投标人自行考虑报价风险。</w:t>
      </w:r>
    </w:p>
    <w:p>
      <w:pPr>
        <w:pStyle w:val="12"/>
        <w:ind w:firstLine="643" w:firstLineChars="20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  <w:lang w:val="en-US" w:eastAsia="zh-CN"/>
        </w:rPr>
        <w:t>四</w:t>
      </w:r>
      <w:r>
        <w:rPr>
          <w:rFonts w:hint="eastAsia" w:asciiTheme="minorEastAsia" w:hAnsiTheme="minorEastAsia" w:eastAsiaTheme="minorEastAsia"/>
          <w:color w:val="FF0000"/>
        </w:rPr>
        <w:t>、</w:t>
      </w:r>
      <w:r>
        <w:rPr>
          <w:rFonts w:hint="eastAsia" w:asciiTheme="minorEastAsia" w:hAnsiTheme="minorEastAsia" w:eastAsiaTheme="minorEastAsia"/>
          <w:color w:val="FF0000"/>
          <w:lang w:val="en-US" w:eastAsia="zh-CN"/>
        </w:rPr>
        <w:t>资质要求</w:t>
      </w:r>
      <w:r>
        <w:rPr>
          <w:rFonts w:hint="eastAsia" w:asciiTheme="minorEastAsia" w:hAnsiTheme="minorEastAsia" w:eastAsiaTheme="minorEastAsia"/>
          <w:color w:val="FF0000"/>
        </w:rPr>
        <w:t xml:space="preserve"> </w:t>
      </w:r>
    </w:p>
    <w:p>
      <w:pPr>
        <w:spacing w:line="360" w:lineRule="auto"/>
        <w:ind w:firstLine="480" w:firstLineChars="200"/>
        <w:jc w:val="left"/>
        <w:rPr>
          <w:rFonts w:hint="eastAsia" w:ascii="TimesNewRomanPSMT" w:hAnsi="TimesNewRomanPSMT" w:eastAsia="宋体" w:cs="宋体"/>
          <w:color w:val="FF0000"/>
          <w:kern w:val="0"/>
          <w:sz w:val="24"/>
          <w:szCs w:val="24"/>
          <w:lang w:val="en-US" w:eastAsia="zh-CN"/>
        </w:rPr>
      </w:pPr>
      <w:r>
        <w:rPr>
          <w:rFonts w:hint="eastAsia" w:ascii="TimesNewRomanPSMT" w:hAnsi="TimesNewRomanPSMT" w:eastAsia="宋体" w:cs="宋体"/>
          <w:color w:val="FF0000"/>
          <w:kern w:val="0"/>
          <w:sz w:val="24"/>
          <w:szCs w:val="24"/>
          <w:lang w:val="en-US" w:eastAsia="zh-CN"/>
        </w:rPr>
        <w:t>1、投标人需具备ISO质量管理体系认证证书，提供有效证书影印件。</w:t>
      </w:r>
    </w:p>
    <w:p>
      <w:pPr>
        <w:spacing w:line="360" w:lineRule="auto"/>
        <w:ind w:firstLine="480" w:firstLineChars="200"/>
        <w:jc w:val="left"/>
        <w:rPr>
          <w:rFonts w:hint="default" w:ascii="TimesNewRomanPSMT" w:hAnsi="TimesNewRomanPSMT" w:eastAsia="宋体" w:cs="宋体"/>
          <w:color w:val="FF0000"/>
          <w:kern w:val="0"/>
          <w:sz w:val="24"/>
          <w:szCs w:val="24"/>
          <w:lang w:val="en-US" w:eastAsia="zh-CN"/>
        </w:rPr>
      </w:pPr>
      <w:r>
        <w:rPr>
          <w:rFonts w:hint="eastAsia" w:ascii="TimesNewRomanPSMT" w:hAnsi="TimesNewRomanPSMT" w:eastAsia="宋体" w:cs="宋体"/>
          <w:color w:val="FF0000"/>
          <w:kern w:val="0"/>
          <w:sz w:val="24"/>
          <w:szCs w:val="24"/>
          <w:lang w:val="en-US" w:eastAsia="zh-CN"/>
        </w:rPr>
        <w:t>2、投标人具有阅读相关活动著作权证书，提供有效证书影印件。</w:t>
      </w:r>
    </w:p>
    <w:p>
      <w:pPr>
        <w:spacing w:line="360" w:lineRule="auto"/>
        <w:ind w:firstLine="480" w:firstLineChars="200"/>
        <w:jc w:val="left"/>
        <w:rPr>
          <w:rFonts w:hint="default" w:ascii="TimesNewRomanPSMT" w:hAnsi="TimesNewRomanPSMT" w:eastAsia="宋体" w:cs="宋体"/>
          <w:color w:val="FF0000"/>
          <w:kern w:val="0"/>
          <w:sz w:val="24"/>
          <w:szCs w:val="24"/>
          <w:lang w:val="en-US" w:eastAsia="zh-CN"/>
        </w:rPr>
      </w:pPr>
      <w:r>
        <w:rPr>
          <w:rFonts w:hint="eastAsia" w:ascii="TimesNewRomanPSMT" w:hAnsi="TimesNewRomanPSMT" w:eastAsia="宋体" w:cs="宋体"/>
          <w:color w:val="FF0000"/>
          <w:kern w:val="0"/>
          <w:sz w:val="24"/>
          <w:szCs w:val="24"/>
          <w:lang w:val="en-US" w:eastAsia="zh-CN"/>
        </w:rPr>
        <w:t>3、提供一个自2020年1月1日以来（以合同签订时间</w:t>
      </w:r>
      <w:bookmarkStart w:id="0" w:name="_GoBack"/>
      <w:bookmarkEnd w:id="0"/>
      <w:r>
        <w:rPr>
          <w:rFonts w:hint="eastAsia" w:ascii="TimesNewRomanPSMT" w:hAnsi="TimesNewRomanPSMT" w:eastAsia="宋体" w:cs="宋体"/>
          <w:color w:val="FF0000"/>
          <w:kern w:val="0"/>
          <w:sz w:val="24"/>
          <w:szCs w:val="24"/>
          <w:lang w:val="en-US" w:eastAsia="zh-CN"/>
        </w:rPr>
        <w:t>为准），投标人具有智慧图书馆或移动端图书馆系统相关业绩，提供相关证明材料影印件。</w:t>
      </w:r>
    </w:p>
    <w:p>
      <w:pPr>
        <w:pStyle w:val="12"/>
        <w:ind w:firstLine="643" w:firstLineChars="20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lang w:val="en-US" w:eastAsia="zh-CN"/>
        </w:rPr>
        <w:t>五</w:t>
      </w:r>
      <w:r>
        <w:rPr>
          <w:rFonts w:hint="eastAsia" w:asciiTheme="minorEastAsia" w:hAnsiTheme="minorEastAsia" w:eastAsiaTheme="minorEastAsia"/>
        </w:rPr>
        <w:t xml:space="preserve">、服务要求 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TimesNewRomanPSMT" w:hAnsi="TimesNewRomanPSMT" w:eastAsia="宋体" w:cs="宋体"/>
          <w:kern w:val="0"/>
          <w:sz w:val="24"/>
          <w:szCs w:val="24"/>
        </w:rPr>
        <w:t xml:space="preserve">1. </w:t>
      </w:r>
      <w:r>
        <w:rPr>
          <w:rFonts w:ascii="宋体" w:hAnsi="宋体" w:eastAsia="宋体" w:cs="宋体"/>
          <w:sz w:val="24"/>
          <w:szCs w:val="24"/>
        </w:rPr>
        <w:t>服务期：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ascii="宋体" w:hAnsi="宋体" w:eastAsia="宋体" w:cs="宋体"/>
          <w:sz w:val="24"/>
          <w:szCs w:val="24"/>
        </w:rPr>
        <w:t>年。服务期内，成交供应商应对系统进行免费维护。在整个系统运行过程中，供应商须帮助采购人解决在系统应用过程中遇到的各种技术问题。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TimesNewRomanPSMT" w:hAnsi="TimesNewRomanPSMT" w:eastAsia="宋体" w:cs="宋体"/>
          <w:kern w:val="0"/>
          <w:sz w:val="24"/>
          <w:szCs w:val="24"/>
          <w:lang w:val="en-US" w:eastAsia="zh-CN"/>
        </w:rPr>
        <w:t>2</w:t>
      </w:r>
      <w:r>
        <w:rPr>
          <w:rFonts w:ascii="TimesNewRomanPSMT" w:hAnsi="TimesNewRomanPSMT" w:eastAsia="宋体" w:cs="宋体"/>
          <w:kern w:val="0"/>
          <w:sz w:val="24"/>
          <w:szCs w:val="24"/>
        </w:rPr>
        <w:t xml:space="preserve">. 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中标人须开通 </w:t>
      </w:r>
      <w:r>
        <w:rPr>
          <w:rFonts w:ascii="TimesNewRomanPSMT" w:hAnsi="TimesNewRomanPSMT" w:eastAsia="宋体" w:cs="宋体"/>
          <w:kern w:val="0"/>
          <w:sz w:val="24"/>
          <w:szCs w:val="24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</w:rPr>
        <w:t>×</w:t>
      </w:r>
      <w:r>
        <w:rPr>
          <w:rFonts w:ascii="TimesNewRomanPSMT" w:hAnsi="TimesNewRomanPSMT" w:eastAsia="宋体" w:cs="宋体"/>
          <w:kern w:val="0"/>
          <w:sz w:val="24"/>
          <w:szCs w:val="24"/>
        </w:rPr>
        <w:t xml:space="preserve">8 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小时热线电话及 </w:t>
      </w:r>
      <w:r>
        <w:rPr>
          <w:rFonts w:ascii="TimesNewRomanPSMT" w:hAnsi="TimesNewRomanPSMT" w:eastAsia="宋体" w:cs="宋体"/>
          <w:kern w:val="0"/>
          <w:sz w:val="24"/>
          <w:szCs w:val="24"/>
        </w:rPr>
        <w:t>7</w:t>
      </w:r>
      <w:r>
        <w:rPr>
          <w:rFonts w:hint="eastAsia" w:ascii="宋体" w:hAnsi="宋体" w:eastAsia="宋体" w:cs="宋体"/>
          <w:kern w:val="0"/>
          <w:sz w:val="24"/>
          <w:szCs w:val="24"/>
        </w:rPr>
        <w:t>×</w:t>
      </w:r>
      <w:r>
        <w:rPr>
          <w:rFonts w:ascii="TimesNewRomanPSMT" w:hAnsi="TimesNewRomanPSMT" w:eastAsia="宋体" w:cs="宋体"/>
          <w:kern w:val="0"/>
          <w:sz w:val="24"/>
          <w:szCs w:val="24"/>
        </w:rPr>
        <w:t xml:space="preserve">24 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小时客服人员电话，接受采购人的电话技术咨询和故障反馈。系统一般故障可通过电话技术咨询解决，如故障不能解决或排除的，中标人应在 </w:t>
      </w:r>
      <w:r>
        <w:rPr>
          <w:rFonts w:ascii="TimesNewRomanPSMT" w:hAnsi="TimesNewRomanPSMT" w:eastAsia="宋体" w:cs="宋体"/>
          <w:kern w:val="0"/>
          <w:sz w:val="24"/>
          <w:szCs w:val="24"/>
        </w:rPr>
        <w:t xml:space="preserve">48 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小时内提供现场服务，待系统运行正常后撤离现场。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TimesNewRomanPSMT" w:hAnsi="TimesNewRomanPSMT" w:eastAsia="宋体" w:cs="宋体"/>
          <w:kern w:val="0"/>
          <w:sz w:val="24"/>
          <w:szCs w:val="24"/>
          <w:lang w:val="en-US" w:eastAsia="zh-CN"/>
        </w:rPr>
        <w:t>3</w:t>
      </w:r>
      <w:r>
        <w:rPr>
          <w:rFonts w:ascii="TimesNewRomanPSMT" w:hAnsi="TimesNewRomanPSMT" w:eastAsia="宋体" w:cs="宋体"/>
          <w:kern w:val="0"/>
          <w:sz w:val="24"/>
          <w:szCs w:val="24"/>
        </w:rPr>
        <w:t xml:space="preserve">. 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服务期内，按《网络安全法》等国家法律法规要求，提供应用系统的网络安全运维服务。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TimesNewRomanPSMT" w:hAnsi="TimesNewRomanPSMT" w:eastAsia="宋体" w:cs="宋体"/>
          <w:kern w:val="0"/>
          <w:sz w:val="24"/>
          <w:szCs w:val="24"/>
          <w:lang w:val="en-US" w:eastAsia="zh-CN"/>
        </w:rPr>
        <w:t>4</w:t>
      </w:r>
      <w:r>
        <w:rPr>
          <w:rFonts w:ascii="TimesNewRomanPSMT" w:hAnsi="TimesNewRomanPSMT" w:eastAsia="宋体" w:cs="宋体"/>
          <w:kern w:val="0"/>
          <w:sz w:val="24"/>
          <w:szCs w:val="24"/>
        </w:rPr>
        <w:t xml:space="preserve">. </w:t>
      </w:r>
      <w:r>
        <w:rPr>
          <w:rFonts w:hint="eastAsia" w:ascii="宋体" w:hAnsi="宋体" w:eastAsia="宋体" w:cs="宋体"/>
          <w:kern w:val="0"/>
          <w:sz w:val="24"/>
          <w:szCs w:val="24"/>
        </w:rPr>
        <w:t>服务期内，因中标人原因、网络安全原因造成系统停运的，应按停运时间无条件免费延长质保期。系统单次连续停运超过</w:t>
      </w:r>
      <w:r>
        <w:rPr>
          <w:rFonts w:ascii="TimesNewRomanPSMT" w:hAnsi="TimesNewRomanPSMT" w:eastAsia="宋体" w:cs="宋体"/>
          <w:kern w:val="0"/>
          <w:sz w:val="24"/>
          <w:szCs w:val="24"/>
        </w:rPr>
        <w:t>7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天的，采购人有权追究违约责任。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TimesNewRomanPSMT" w:hAnsi="TimesNewRomanPSMT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ascii="TimesNewRomanPSMT" w:hAnsi="TimesNewRomanPSMT" w:eastAsia="宋体" w:cs="宋体"/>
          <w:kern w:val="0"/>
          <w:sz w:val="24"/>
          <w:szCs w:val="24"/>
        </w:rPr>
        <w:t xml:space="preserve">. </w:t>
      </w:r>
      <w:r>
        <w:rPr>
          <w:rFonts w:hint="eastAsia" w:ascii="宋体" w:hAnsi="宋体" w:eastAsia="宋体" w:cs="宋体"/>
          <w:kern w:val="0"/>
          <w:sz w:val="24"/>
          <w:szCs w:val="24"/>
        </w:rPr>
        <w:t>中标人在国内有固定的售后服务机构，能提供正常的技术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满足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服务。 </w:t>
      </w:r>
    </w:p>
    <w:p>
      <w:pPr>
        <w:widowControl/>
        <w:spacing w:line="360" w:lineRule="auto"/>
        <w:ind w:firstLine="480" w:firstLineChars="200"/>
        <w:jc w:val="left"/>
        <w:rPr>
          <w:rFonts w:cs="宋体" w:asciiTheme="minorEastAsia" w:hAnsiTheme="minorEastAsia"/>
          <w:sz w:val="24"/>
          <w:shd w:val="clear" w:color="auto" w:fill="FFFFFF"/>
        </w:rPr>
      </w:pPr>
      <w:r>
        <w:rPr>
          <w:rFonts w:hint="eastAsia" w:ascii="TimesNewRomanPSMT" w:hAnsi="TimesNewRomanPSMT" w:eastAsia="宋体" w:cs="宋体"/>
          <w:kern w:val="0"/>
          <w:sz w:val="24"/>
          <w:szCs w:val="24"/>
          <w:lang w:val="en-US" w:eastAsia="zh-CN"/>
        </w:rPr>
        <w:t>6</w:t>
      </w:r>
      <w:r>
        <w:rPr>
          <w:rFonts w:ascii="TimesNewRomanPSMT" w:hAnsi="TimesNewRomanPSMT" w:eastAsia="宋体" w:cs="宋体"/>
          <w:kern w:val="0"/>
          <w:sz w:val="24"/>
          <w:szCs w:val="24"/>
        </w:rPr>
        <w:t xml:space="preserve">. </w:t>
      </w:r>
      <w:r>
        <w:rPr>
          <w:rFonts w:hint="eastAsia" w:ascii="宋体" w:hAnsi="宋体" w:eastAsia="宋体" w:cs="宋体"/>
          <w:kern w:val="0"/>
          <w:sz w:val="24"/>
          <w:szCs w:val="24"/>
        </w:rPr>
        <w:t>中标人需制定项目培训计划，针对不同用户角色根据需要提供系统的使用培训服务，保证采购人顺利掌握系统各项功能操作。</w:t>
      </w:r>
    </w:p>
    <w:p>
      <w:pPr>
        <w:pStyle w:val="9"/>
        <w:numPr>
          <w:ilvl w:val="0"/>
          <w:numId w:val="0"/>
        </w:numPr>
        <w:ind w:leftChars="0"/>
        <w:rPr>
          <w:b/>
          <w:sz w:val="28"/>
          <w:szCs w:val="28"/>
        </w:rPr>
      </w:pPr>
    </w:p>
    <w:p>
      <w:pPr>
        <w:pStyle w:val="9"/>
        <w:numPr>
          <w:ilvl w:val="0"/>
          <w:numId w:val="0"/>
        </w:numPr>
        <w:ind w:leftChars="0"/>
        <w:rPr>
          <w:b/>
          <w:sz w:val="28"/>
          <w:szCs w:val="28"/>
        </w:rPr>
      </w:pPr>
    </w:p>
    <w:p>
      <w:pPr>
        <w:pStyle w:val="9"/>
        <w:ind w:left="0" w:leftChars="0" w:firstLine="0" w:firstLineChars="0"/>
        <w:rPr>
          <w:b/>
          <w:szCs w:val="21"/>
        </w:rPr>
      </w:pPr>
    </w:p>
    <w:sectPr>
      <w:pgSz w:w="11906" w:h="16838"/>
      <w:pgMar w:top="1440" w:right="1293" w:bottom="1440" w:left="66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F809DA"/>
    <w:multiLevelType w:val="multilevel"/>
    <w:tmpl w:val="71F809DA"/>
    <w:lvl w:ilvl="0" w:tentative="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VhNDljOTA3NGJiZTQwZDk2ZGY5NGRmMTgwNWM3NTQifQ=="/>
  </w:docVars>
  <w:rsids>
    <w:rsidRoot w:val="00E5501D"/>
    <w:rsid w:val="001E323F"/>
    <w:rsid w:val="0025268E"/>
    <w:rsid w:val="0026226E"/>
    <w:rsid w:val="0026526F"/>
    <w:rsid w:val="0026577D"/>
    <w:rsid w:val="00332211"/>
    <w:rsid w:val="003C571F"/>
    <w:rsid w:val="003F7AD4"/>
    <w:rsid w:val="00404835"/>
    <w:rsid w:val="004B784D"/>
    <w:rsid w:val="00533837"/>
    <w:rsid w:val="00605172"/>
    <w:rsid w:val="00632BEB"/>
    <w:rsid w:val="00717502"/>
    <w:rsid w:val="007D6934"/>
    <w:rsid w:val="00820F8A"/>
    <w:rsid w:val="0083645F"/>
    <w:rsid w:val="008E5F61"/>
    <w:rsid w:val="00A04CE8"/>
    <w:rsid w:val="00A46344"/>
    <w:rsid w:val="00BA21EF"/>
    <w:rsid w:val="00BF57C3"/>
    <w:rsid w:val="00CF3EE3"/>
    <w:rsid w:val="00D2411F"/>
    <w:rsid w:val="00D46F46"/>
    <w:rsid w:val="00D47872"/>
    <w:rsid w:val="00D47C98"/>
    <w:rsid w:val="00DB01C8"/>
    <w:rsid w:val="00DC08FE"/>
    <w:rsid w:val="00DC51CF"/>
    <w:rsid w:val="00DD4122"/>
    <w:rsid w:val="00DF36D3"/>
    <w:rsid w:val="00E317F6"/>
    <w:rsid w:val="00E5501D"/>
    <w:rsid w:val="00E67437"/>
    <w:rsid w:val="00EC67CA"/>
    <w:rsid w:val="00F65665"/>
    <w:rsid w:val="07E0515C"/>
    <w:rsid w:val="087C3926"/>
    <w:rsid w:val="0C28342E"/>
    <w:rsid w:val="14BF4E77"/>
    <w:rsid w:val="26885300"/>
    <w:rsid w:val="3CA21EB3"/>
    <w:rsid w:val="3E1A6B83"/>
    <w:rsid w:val="3E6C12BE"/>
    <w:rsid w:val="4639337F"/>
    <w:rsid w:val="489F0734"/>
    <w:rsid w:val="4E7927D9"/>
    <w:rsid w:val="55F3672A"/>
    <w:rsid w:val="686B4318"/>
    <w:rsid w:val="788C455A"/>
    <w:rsid w:val="79894722"/>
    <w:rsid w:val="7BF11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2"/>
    <w:basedOn w:val="1"/>
    <w:qFormat/>
    <w:uiPriority w:val="0"/>
    <w:pPr>
      <w:spacing w:after="120" w:line="480" w:lineRule="auto"/>
    </w:pPr>
    <w:rPr>
      <w:rFonts w:ascii="Times New Roman" w:hAnsi="Times New Roman" w:eastAsia="宋体" w:cs="Times New Roman"/>
    </w:rPr>
  </w:style>
  <w:style w:type="character" w:customStyle="1" w:styleId="7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table" w:customStyle="1" w:styleId="10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szCs w:val="20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lang w:val="zh-CN" w:bidi="zh-CN"/>
    </w:rPr>
  </w:style>
  <w:style w:type="paragraph" w:customStyle="1" w:styleId="12">
    <w:name w:val="石墨文档标题 1"/>
    <w:next w:val="1"/>
    <w:unhideWhenUsed/>
    <w:qFormat/>
    <w:uiPriority w:val="9"/>
    <w:pPr>
      <w:spacing w:before="260" w:after="260"/>
      <w:outlineLvl w:val="1"/>
    </w:pPr>
    <w:rPr>
      <w:rFonts w:ascii="微软雅黑" w:hAnsi="微软雅黑" w:eastAsia="微软雅黑" w:cs="微软雅黑"/>
      <w:b/>
      <w:bCs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3184</Words>
  <Characters>3386</Characters>
  <Lines>22</Lines>
  <Paragraphs>6</Paragraphs>
  <TotalTime>0</TotalTime>
  <ScaleCrop>false</ScaleCrop>
  <LinksUpToDate>false</LinksUpToDate>
  <CharactersWithSpaces>3412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2023-09-13T14:21:00Z</dcterms:created>
  <dc:creator>MacBook</dc:creator>
  <cp:lastModifiedBy>品诺酒店用品</cp:lastModifiedBy>
  <dcterms:modified xsi:type="dcterms:W3CDTF">2023-11-17T07:45:46Z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60DAD9B999A444C1938377B7E9799FF7_12</vt:lpwstr>
  </property>
</Properties>
</file>