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lang w:val="en-US" w:eastAsia="zh-CN"/>
        </w:rPr>
        <w:t>艺术与设计系画室电动窗帘采购项目</w:t>
      </w:r>
      <w:r>
        <w:rPr>
          <w:rFonts w:hint="eastAsia"/>
          <w:b/>
          <w:sz w:val="32"/>
          <w:szCs w:val="32"/>
        </w:rPr>
        <w:t>采购需求</w:t>
      </w:r>
    </w:p>
    <w:tbl>
      <w:tblPr>
        <w:tblStyle w:val="4"/>
        <w:tblW w:w="10482" w:type="dxa"/>
        <w:jc w:val="center"/>
        <w:tblLayout w:type="fixed"/>
        <w:tblCellMar>
          <w:top w:w="0" w:type="dxa"/>
          <w:left w:w="0" w:type="dxa"/>
          <w:bottom w:w="0" w:type="dxa"/>
          <w:right w:w="0" w:type="dxa"/>
        </w:tblCellMar>
      </w:tblPr>
      <w:tblGrid>
        <w:gridCol w:w="723"/>
        <w:gridCol w:w="1237"/>
        <w:gridCol w:w="6115"/>
        <w:gridCol w:w="706"/>
        <w:gridCol w:w="567"/>
        <w:gridCol w:w="567"/>
        <w:gridCol w:w="567"/>
      </w:tblGrid>
      <w:tr>
        <w:tblPrEx>
          <w:tblCellMar>
            <w:top w:w="0" w:type="dxa"/>
            <w:left w:w="0" w:type="dxa"/>
            <w:bottom w:w="0" w:type="dxa"/>
            <w:right w:w="0" w:type="dxa"/>
          </w:tblCellMar>
        </w:tblPrEx>
        <w:trPr>
          <w:trHeight w:val="356" w:hRule="atLeast"/>
          <w:jc w:val="center"/>
        </w:trPr>
        <w:tc>
          <w:tcPr>
            <w:tcW w:w="72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cs="宋体"/>
                <w:kern w:val="0"/>
                <w:szCs w:val="21"/>
                <w:lang w:bidi="ar"/>
              </w:rPr>
              <w:t>序号</w:t>
            </w:r>
          </w:p>
        </w:tc>
        <w:tc>
          <w:tcPr>
            <w:tcW w:w="12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cs="宋体"/>
                <w:kern w:val="0"/>
                <w:szCs w:val="21"/>
                <w:lang w:bidi="ar"/>
              </w:rPr>
              <w:t>名称</w:t>
            </w:r>
          </w:p>
        </w:tc>
        <w:tc>
          <w:tcPr>
            <w:tcW w:w="611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cs="宋体"/>
                <w:kern w:val="0"/>
                <w:szCs w:val="21"/>
                <w:lang w:bidi="ar"/>
              </w:rPr>
              <w:t>货物参数</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cs="宋体"/>
                <w:kern w:val="0"/>
                <w:szCs w:val="21"/>
                <w:lang w:bidi="ar"/>
              </w:rPr>
            </w:pPr>
            <w:r>
              <w:rPr>
                <w:rFonts w:hint="eastAsia" w:ascii="宋体" w:hAnsi="宋体" w:eastAsia="宋体" w:cs="宋体"/>
                <w:kern w:val="0"/>
                <w:szCs w:val="21"/>
                <w:lang w:bidi="ar"/>
              </w:rPr>
              <w:t>数量</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eastAsia="宋体" w:cs="宋体"/>
                <w:kern w:val="0"/>
                <w:szCs w:val="21"/>
                <w:lang w:bidi="ar"/>
              </w:rPr>
            </w:pPr>
            <w:r>
              <w:rPr>
                <w:rFonts w:hint="eastAsia" w:ascii="宋体" w:hAnsi="宋体" w:eastAsia="宋体" w:cs="宋体"/>
                <w:kern w:val="0"/>
                <w:szCs w:val="21"/>
                <w:lang w:bidi="ar"/>
              </w:rPr>
              <w:t>单位</w:t>
            </w:r>
          </w:p>
        </w:tc>
        <w:tc>
          <w:tcPr>
            <w:tcW w:w="567" w:type="dxa"/>
            <w:tcBorders>
              <w:top w:val="single" w:color="auto" w:sz="4" w:space="0"/>
              <w:left w:val="single" w:color="auto" w:sz="4" w:space="0"/>
              <w:bottom w:val="single" w:color="auto" w:sz="4" w:space="0"/>
              <w:right w:val="single" w:color="auto" w:sz="4" w:space="0"/>
            </w:tcBorders>
          </w:tcPr>
          <w:p>
            <w:pPr>
              <w:widowControl/>
              <w:spacing w:line="300" w:lineRule="atLeast"/>
              <w:jc w:val="center"/>
              <w:rPr>
                <w:rFonts w:hint="eastAsia" w:ascii="宋体" w:hAnsi="宋体" w:eastAsia="宋体" w:cs="宋体"/>
                <w:kern w:val="0"/>
                <w:szCs w:val="21"/>
                <w:lang w:bidi="ar"/>
              </w:rPr>
            </w:pPr>
            <w:r>
              <w:rPr>
                <w:rFonts w:hint="eastAsia" w:ascii="宋体" w:hAnsi="宋体" w:eastAsia="宋体" w:cs="宋体"/>
                <w:kern w:val="0"/>
                <w:szCs w:val="21"/>
                <w:lang w:bidi="ar"/>
              </w:rPr>
              <w:t>单价</w:t>
            </w:r>
          </w:p>
        </w:tc>
        <w:tc>
          <w:tcPr>
            <w:tcW w:w="567" w:type="dxa"/>
            <w:tcBorders>
              <w:top w:val="single" w:color="auto" w:sz="4" w:space="0"/>
              <w:left w:val="single" w:color="auto" w:sz="4" w:space="0"/>
              <w:bottom w:val="single" w:color="auto" w:sz="4" w:space="0"/>
              <w:right w:val="single" w:color="auto" w:sz="4" w:space="0"/>
            </w:tcBorders>
          </w:tcPr>
          <w:p>
            <w:pPr>
              <w:widowControl/>
              <w:spacing w:line="300" w:lineRule="atLeast"/>
              <w:jc w:val="center"/>
              <w:rPr>
                <w:rFonts w:hint="eastAsia" w:ascii="宋体" w:hAnsi="宋体" w:eastAsia="宋体" w:cs="宋体"/>
                <w:kern w:val="0"/>
                <w:szCs w:val="21"/>
                <w:lang w:eastAsia="zh-CN" w:bidi="ar"/>
              </w:rPr>
            </w:pPr>
            <w:r>
              <w:rPr>
                <w:rFonts w:hint="eastAsia" w:ascii="宋体" w:hAnsi="宋体" w:eastAsia="宋体" w:cs="宋体"/>
                <w:kern w:val="0"/>
                <w:szCs w:val="21"/>
                <w:lang w:val="en-US" w:eastAsia="zh-CN" w:bidi="ar"/>
              </w:rPr>
              <w:t>总价</w:t>
            </w:r>
          </w:p>
        </w:tc>
      </w:tr>
      <w:tr>
        <w:tblPrEx>
          <w:tblCellMar>
            <w:top w:w="0" w:type="dxa"/>
            <w:left w:w="0" w:type="dxa"/>
            <w:bottom w:w="0" w:type="dxa"/>
            <w:right w:w="0" w:type="dxa"/>
          </w:tblCellMar>
        </w:tblPrEx>
        <w:trPr>
          <w:trHeight w:val="2226" w:hRule="atLeast"/>
          <w:jc w:val="center"/>
        </w:trPr>
        <w:tc>
          <w:tcPr>
            <w:tcW w:w="72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ascii="宋体" w:hAnsi="宋体" w:eastAsia="宋体" w:cs="宋体"/>
                <w:kern w:val="0"/>
                <w:szCs w:val="21"/>
                <w:lang w:bidi="ar"/>
              </w:rPr>
              <w:t>1</w:t>
            </w:r>
          </w:p>
        </w:tc>
        <w:tc>
          <w:tcPr>
            <w:tcW w:w="12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hint="eastAsia" w:ascii="宋体" w:hAnsi="宋体" w:eastAsia="宋体" w:cs="宋体"/>
                <w:kern w:val="0"/>
                <w:szCs w:val="21"/>
                <w:lang w:bidi="ar"/>
              </w:rPr>
              <w:t>天窗蜂巢帘</w:t>
            </w:r>
          </w:p>
        </w:tc>
        <w:tc>
          <w:tcPr>
            <w:tcW w:w="611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ascii="宋体" w:hAnsi="宋体" w:eastAsia="宋体" w:cs="宋体"/>
                <w:b/>
                <w:kern w:val="0"/>
                <w:szCs w:val="21"/>
                <w:lang w:bidi="ar"/>
              </w:rPr>
            </w:pPr>
            <w:r>
              <w:rPr>
                <w:rFonts w:hint="eastAsia" w:ascii="宋体" w:hAnsi="宋体" w:eastAsia="宋体" w:cs="宋体"/>
                <w:b/>
                <w:kern w:val="0"/>
                <w:szCs w:val="21"/>
                <w:lang w:bidi="ar"/>
              </w:rPr>
              <w:t>面料：</w:t>
            </w:r>
          </w:p>
          <w:p>
            <w:pPr>
              <w:widowControl/>
              <w:jc w:val="left"/>
              <w:rPr>
                <w:rFonts w:ascii="宋体" w:hAnsi="宋体" w:eastAsia="宋体"/>
                <w:szCs w:val="21"/>
              </w:rPr>
            </w:pPr>
            <w:r>
              <w:rPr>
                <w:rFonts w:hint="eastAsia" w:ascii="宋体" w:hAnsi="宋体" w:eastAsia="宋体" w:cs="宋体"/>
                <w:kern w:val="0"/>
                <w:szCs w:val="21"/>
                <w:lang w:bidi="ar"/>
              </w:rPr>
              <w:t>1、半遮光蜂巢帘面料参数：产品规格:宽度≥25mm，厚度≥100um；面料成分：纤维涤纶；重量:≥190g/m</w:t>
            </w:r>
            <w:r>
              <w:rPr>
                <w:rFonts w:hint="eastAsia" w:ascii="宋体" w:hAnsi="宋体" w:eastAsia="宋体" w:cs="宋体"/>
                <w:kern w:val="0"/>
                <w:szCs w:val="21"/>
                <w:vertAlign w:val="superscript"/>
                <w:lang w:bidi="ar"/>
              </w:rPr>
              <w:t>2</w:t>
            </w:r>
            <w:r>
              <w:rPr>
                <w:rFonts w:hint="eastAsia" w:ascii="宋体" w:hAnsi="宋体" w:eastAsia="宋体" w:cs="宋体"/>
                <w:kern w:val="0"/>
                <w:szCs w:val="21"/>
                <w:lang w:bidi="ar"/>
              </w:rPr>
              <w:t>；遮光率不低于:60%；双层面料。</w:t>
            </w:r>
          </w:p>
          <w:p>
            <w:pPr>
              <w:widowControl/>
              <w:jc w:val="left"/>
              <w:rPr>
                <w:rFonts w:ascii="宋体" w:hAnsi="宋体" w:eastAsia="宋体" w:cs="宋体"/>
                <w:kern w:val="0"/>
                <w:szCs w:val="21"/>
                <w:lang w:bidi="ar"/>
              </w:rPr>
            </w:pPr>
            <w:r>
              <w:rPr>
                <w:rFonts w:ascii="宋体" w:hAnsi="宋体" w:eastAsia="宋体" w:cs="宋体"/>
                <w:kern w:val="0"/>
                <w:szCs w:val="21"/>
                <w:lang w:bidi="ar"/>
              </w:rPr>
              <w:t>2</w:t>
            </w:r>
            <w:r>
              <w:rPr>
                <w:rFonts w:hint="eastAsia" w:ascii="宋体" w:hAnsi="宋体" w:eastAsia="宋体" w:cs="宋体"/>
                <w:kern w:val="0"/>
                <w:szCs w:val="21"/>
                <w:lang w:bidi="ar"/>
              </w:rPr>
              <w:t>、半遮光蜂巢帘面料概述：采用降噪纤维无纺布编制面料；蜂巢面料不变形，不褪色，与蜂巢面料复合而成；达到不低于60%遮光，有效隔音降噪，节能隔热；面料之间的粘合用固体热溶胶，经过4小时以上高温融化制作，不含任何致癌物质。</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3、环保标准：</w:t>
            </w:r>
            <w:r>
              <w:rPr>
                <w:rFonts w:ascii="宋体" w:hAnsi="宋体" w:eastAsia="宋体" w:cs="宋体"/>
                <w:kern w:val="0"/>
                <w:szCs w:val="21"/>
                <w:lang w:bidi="ar"/>
              </w:rPr>
              <w:t>GB50325-2010。面料中化学成分含量不得超过国家最新颁布的相关标准和规范要求。</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4、面料中有害物质含量要符合</w:t>
            </w:r>
            <w:r>
              <w:rPr>
                <w:rFonts w:ascii="宋体" w:hAnsi="宋体" w:eastAsia="宋体" w:cs="宋体"/>
                <w:kern w:val="0"/>
                <w:szCs w:val="21"/>
                <w:lang w:bidi="ar"/>
              </w:rPr>
              <w:t>GB1840-2010国家纺织产品基本安全技术规范。</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5、防火等级：GB50222-2017标准中的B2级及以上。</w:t>
            </w:r>
          </w:p>
          <w:p>
            <w:pPr>
              <w:widowControl/>
              <w:jc w:val="left"/>
              <w:rPr>
                <w:rFonts w:ascii="宋体" w:hAnsi="宋体" w:eastAsia="宋体" w:cs="宋体"/>
                <w:kern w:val="0"/>
                <w:szCs w:val="21"/>
                <w:lang w:bidi="ar"/>
              </w:rPr>
            </w:pPr>
            <w:r>
              <w:rPr>
                <w:rFonts w:ascii="宋体" w:hAnsi="宋体" w:eastAsia="宋体" w:cs="宋体"/>
                <w:kern w:val="0"/>
                <w:szCs w:val="21"/>
                <w:lang w:bidi="ar"/>
              </w:rPr>
              <w:t>6</w:t>
            </w:r>
            <w:r>
              <w:rPr>
                <w:rFonts w:hint="eastAsia" w:ascii="宋体" w:hAnsi="宋体" w:eastAsia="宋体" w:cs="宋体"/>
                <w:kern w:val="0"/>
                <w:szCs w:val="21"/>
                <w:lang w:bidi="ar"/>
              </w:rPr>
              <w:t>、以上参数投标时需提供S</w:t>
            </w:r>
            <w:r>
              <w:rPr>
                <w:rFonts w:ascii="宋体" w:hAnsi="宋体" w:eastAsia="宋体" w:cs="宋体"/>
                <w:kern w:val="0"/>
                <w:szCs w:val="21"/>
                <w:lang w:bidi="ar"/>
              </w:rPr>
              <w:t>GS检测报告</w:t>
            </w:r>
            <w:r>
              <w:rPr>
                <w:rFonts w:hint="eastAsia" w:ascii="宋体" w:hAnsi="宋体" w:eastAsia="宋体" w:cs="宋体"/>
                <w:kern w:val="0"/>
                <w:szCs w:val="21"/>
                <w:lang w:bidi="ar"/>
              </w:rPr>
              <w:t>佐证。</w:t>
            </w:r>
          </w:p>
          <w:p>
            <w:pPr>
              <w:widowControl/>
              <w:jc w:val="left"/>
              <w:rPr>
                <w:rFonts w:ascii="宋体" w:hAnsi="宋体" w:eastAsia="宋体" w:cs="宋体"/>
                <w:kern w:val="0"/>
                <w:szCs w:val="21"/>
                <w:lang w:bidi="ar"/>
              </w:rPr>
            </w:pPr>
            <w:r>
              <w:rPr>
                <w:rFonts w:ascii="宋体" w:hAnsi="宋体" w:eastAsia="宋体" w:cs="宋体"/>
                <w:kern w:val="0"/>
                <w:szCs w:val="21"/>
                <w:lang w:bidi="ar"/>
              </w:rPr>
              <w:t>7</w:t>
            </w:r>
            <w:r>
              <w:rPr>
                <w:rFonts w:hint="eastAsia" w:ascii="宋体" w:hAnsi="宋体" w:eastAsia="宋体" w:cs="宋体"/>
                <w:kern w:val="0"/>
                <w:szCs w:val="21"/>
                <w:lang w:bidi="ar"/>
              </w:rPr>
              <w:t>、中标后由中标人提供色板供招标人选择，价格不予调整。</w:t>
            </w:r>
          </w:p>
          <w:p>
            <w:pPr>
              <w:widowControl/>
              <w:jc w:val="left"/>
              <w:rPr>
                <w:rFonts w:ascii="宋体" w:hAnsi="宋体" w:eastAsia="宋体" w:cs="宋体"/>
                <w:b/>
                <w:kern w:val="0"/>
                <w:szCs w:val="21"/>
                <w:lang w:bidi="ar"/>
              </w:rPr>
            </w:pPr>
            <w:r>
              <w:rPr>
                <w:rFonts w:hint="eastAsia" w:ascii="宋体" w:hAnsi="宋体" w:eastAsia="宋体" w:cs="宋体"/>
                <w:b/>
                <w:kern w:val="0"/>
                <w:szCs w:val="21"/>
                <w:lang w:bidi="ar"/>
              </w:rPr>
              <w:t>边框：</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采用6063铝合金型材，每套长4</w:t>
            </w:r>
            <w:r>
              <w:rPr>
                <w:rFonts w:ascii="宋体" w:hAnsi="宋体" w:eastAsia="宋体" w:cs="宋体"/>
                <w:kern w:val="0"/>
                <w:szCs w:val="21"/>
                <w:lang w:bidi="ar"/>
              </w:rPr>
              <w:t>.5 m</w:t>
            </w:r>
            <w:r>
              <w:rPr>
                <w:rFonts w:hint="eastAsia" w:ascii="宋体" w:hAnsi="宋体" w:eastAsia="宋体" w:cs="宋体"/>
                <w:kern w:val="0"/>
                <w:szCs w:val="21"/>
                <w:lang w:bidi="ar"/>
              </w:rPr>
              <w:t>，宽1</w:t>
            </w:r>
            <w:r>
              <w:rPr>
                <w:rFonts w:ascii="宋体" w:hAnsi="宋体" w:eastAsia="宋体" w:cs="宋体"/>
                <w:kern w:val="0"/>
                <w:szCs w:val="21"/>
                <w:lang w:bidi="ar"/>
              </w:rPr>
              <w:t>.5m</w:t>
            </w:r>
            <w:r>
              <w:rPr>
                <w:rFonts w:hint="eastAsia" w:ascii="宋体" w:hAnsi="宋体" w:eastAsia="宋体" w:cs="宋体"/>
                <w:kern w:val="0"/>
                <w:szCs w:val="21"/>
                <w:lang w:bidi="ar"/>
              </w:rPr>
              <w:t>，壁厚≥1.0mm，裸露面静电粉末喷涂处理；配件之间的衔接采用ABS工程塑料或尼龙材质，达到一定的抗高温，抗老化。边框与窗框之间不得漏光。</w:t>
            </w:r>
          </w:p>
          <w:p>
            <w:pPr>
              <w:widowControl/>
              <w:jc w:val="left"/>
              <w:rPr>
                <w:rFonts w:ascii="宋体" w:hAnsi="宋体" w:eastAsia="宋体" w:cs="宋体"/>
                <w:b/>
                <w:kern w:val="0"/>
                <w:szCs w:val="21"/>
                <w:lang w:bidi="ar"/>
              </w:rPr>
            </w:pPr>
            <w:r>
              <w:rPr>
                <w:rFonts w:hint="eastAsia" w:ascii="宋体" w:hAnsi="宋体" w:eastAsia="宋体" w:cs="宋体"/>
                <w:b/>
                <w:kern w:val="0"/>
                <w:szCs w:val="21"/>
                <w:lang w:bidi="ar"/>
              </w:rPr>
              <w:t>电机：</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1、蜂巢电机参数：双输出轴电机内置遥控接收,单机可控；额定扭矩: 0.8-1.5Nm；额定转速: 30-45rpm；额定电压: DC12-24V；额定功率：10-20W；噪声指数：</w:t>
            </w:r>
            <w:r>
              <w:rPr>
                <w:rFonts w:ascii="宋体" w:hAnsi="宋体" w:eastAsia="宋体" w:cs="Arial"/>
                <w:szCs w:val="21"/>
                <w:shd w:val="clear" w:color="auto" w:fill="FFFFFF"/>
              </w:rPr>
              <w:t>≤</w:t>
            </w:r>
            <w:r>
              <w:rPr>
                <w:rFonts w:hint="eastAsia" w:ascii="宋体" w:hAnsi="宋体" w:eastAsia="宋体" w:cs="Arial"/>
                <w:szCs w:val="21"/>
                <w:shd w:val="clear" w:color="auto" w:fill="FFFFFF"/>
              </w:rPr>
              <w:t>45</w:t>
            </w:r>
            <w:r>
              <w:rPr>
                <w:rFonts w:ascii="宋体" w:hAnsi="宋体" w:eastAsia="宋体" w:cs="Arial"/>
                <w:szCs w:val="21"/>
                <w:shd w:val="clear" w:color="auto" w:fill="FFFFFF"/>
              </w:rPr>
              <w:t>dB</w:t>
            </w:r>
            <w:r>
              <w:rPr>
                <w:rFonts w:hint="eastAsia" w:ascii="宋体" w:hAnsi="宋体" w:eastAsia="宋体" w:cs="Arial"/>
                <w:szCs w:val="21"/>
                <w:shd w:val="clear" w:color="auto" w:fill="FFFFFF"/>
              </w:rPr>
              <w:t>；</w:t>
            </w:r>
            <w:r>
              <w:rPr>
                <w:rFonts w:hint="eastAsia" w:ascii="宋体" w:hAnsi="宋体" w:eastAsia="宋体" w:cs="宋体"/>
                <w:kern w:val="0"/>
                <w:szCs w:val="21"/>
                <w:lang w:bidi="ar"/>
              </w:rPr>
              <w:t>电机长度:满足使用需求；工作温度：-10℃～+60℃能正常工作。</w:t>
            </w:r>
          </w:p>
          <w:p>
            <w:pPr>
              <w:widowControl/>
              <w:jc w:val="left"/>
              <w:rPr>
                <w:rFonts w:ascii="宋体" w:hAnsi="宋体" w:eastAsia="宋体" w:cs="宋体"/>
                <w:kern w:val="0"/>
                <w:szCs w:val="21"/>
                <w:lang w:bidi="ar"/>
              </w:rPr>
            </w:pPr>
            <w:r>
              <w:rPr>
                <w:rFonts w:hint="eastAsia" w:ascii="宋体" w:hAnsi="宋体" w:eastAsia="宋体" w:cs="宋体"/>
                <w:kern w:val="0"/>
                <w:szCs w:val="21"/>
                <w:lang w:bidi="ar"/>
              </w:rPr>
              <w:t>2、蜂巢帘电机概述：专用蜂巢帘电机（适用高温条件下稳定持久运行)；隐藏式电机，机身不得裸露在蜂巢帘机构以外；双输出带减震胶，运行恒速稳定。</w:t>
            </w:r>
          </w:p>
          <w:p>
            <w:pPr>
              <w:widowControl/>
              <w:jc w:val="left"/>
              <w:rPr>
                <w:rFonts w:hint="eastAsia" w:ascii="宋体" w:hAnsi="宋体" w:eastAsia="宋体" w:cs="宋体"/>
                <w:kern w:val="0"/>
                <w:szCs w:val="21"/>
                <w:lang w:bidi="ar"/>
              </w:rPr>
            </w:pPr>
            <w:r>
              <w:rPr>
                <w:rFonts w:hint="eastAsia" w:ascii="宋体" w:hAnsi="宋体" w:eastAsia="宋体" w:cs="宋体"/>
                <w:kern w:val="0"/>
                <w:szCs w:val="21"/>
                <w:lang w:bidi="ar"/>
              </w:rPr>
              <w:t>3、投标时需提供</w:t>
            </w:r>
            <w:r>
              <w:rPr>
                <w:rFonts w:ascii="宋体" w:hAnsi="宋体" w:eastAsia="宋体" w:cs="宋体"/>
                <w:kern w:val="0"/>
                <w:szCs w:val="21"/>
                <w:lang w:bidi="ar"/>
              </w:rPr>
              <w:t>EMC测试报告，测试报告中通过传导发射、辐射发射、谐波电流发射、电压波动和闪烁、静电放电、浪涌、注入电流等测试项目，测试结果符合2014/30/EU要求。</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ascii="宋体" w:hAnsi="宋体" w:eastAsia="宋体"/>
                <w:szCs w:val="21"/>
              </w:rPr>
            </w:pPr>
            <w:r>
              <w:rPr>
                <w:rFonts w:hint="eastAsia" w:ascii="宋体" w:hAnsi="宋体" w:eastAsia="宋体"/>
                <w:szCs w:val="21"/>
              </w:rPr>
              <w:t>2</w:t>
            </w:r>
            <w:r>
              <w:rPr>
                <w:rFonts w:ascii="宋体" w:hAnsi="宋体" w:eastAsia="宋体"/>
                <w:szCs w:val="21"/>
              </w:rPr>
              <w:t>1</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ascii="宋体" w:hAnsi="宋体" w:eastAsia="宋体"/>
                <w:szCs w:val="21"/>
              </w:rPr>
            </w:pPr>
            <w:r>
              <w:rPr>
                <w:rFonts w:hint="eastAsia" w:ascii="宋体" w:hAnsi="宋体" w:eastAsia="宋体"/>
                <w:szCs w:val="21"/>
              </w:rPr>
              <w:t>套</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r>
      <w:tr>
        <w:tblPrEx>
          <w:tblCellMar>
            <w:top w:w="0" w:type="dxa"/>
            <w:left w:w="0" w:type="dxa"/>
            <w:bottom w:w="0" w:type="dxa"/>
            <w:right w:w="0" w:type="dxa"/>
          </w:tblCellMar>
        </w:tblPrEx>
        <w:trPr>
          <w:trHeight w:val="511" w:hRule="atLeast"/>
          <w:jc w:val="center"/>
        </w:trPr>
        <w:tc>
          <w:tcPr>
            <w:tcW w:w="72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hint="eastAsia" w:ascii="宋体" w:hAnsi="宋体" w:eastAsia="宋体" w:cs="宋体"/>
                <w:kern w:val="0"/>
                <w:szCs w:val="21"/>
                <w:lang w:bidi="ar"/>
              </w:rPr>
              <w:t>2</w:t>
            </w:r>
          </w:p>
        </w:tc>
        <w:tc>
          <w:tcPr>
            <w:tcW w:w="12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宋体" w:hAnsi="宋体" w:eastAsia="宋体" w:cs="宋体"/>
                <w:kern w:val="0"/>
                <w:szCs w:val="21"/>
                <w:lang w:bidi="ar"/>
              </w:rPr>
            </w:pPr>
            <w:r>
              <w:rPr>
                <w:rFonts w:hint="eastAsia" w:ascii="宋体" w:hAnsi="宋体" w:eastAsia="宋体" w:cs="宋体"/>
                <w:kern w:val="0"/>
                <w:szCs w:val="21"/>
                <w:lang w:bidi="ar"/>
              </w:rPr>
              <w:t>控制系统</w:t>
            </w:r>
          </w:p>
        </w:tc>
        <w:tc>
          <w:tcPr>
            <w:tcW w:w="611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eastAsia" w:ascii="宋体" w:hAnsi="宋体" w:eastAsia="宋体" w:cs="宋体"/>
                <w:kern w:val="0"/>
                <w:szCs w:val="21"/>
                <w:lang w:bidi="ar"/>
              </w:rPr>
            </w:pPr>
            <w:r>
              <w:rPr>
                <w:rFonts w:hint="eastAsia" w:ascii="宋体" w:hAnsi="宋体" w:eastAsia="宋体" w:cs="宋体"/>
                <w:kern w:val="0"/>
                <w:szCs w:val="21"/>
                <w:lang w:bidi="ar"/>
              </w:rPr>
              <w:t>共五间教室，每间教室配</w:t>
            </w:r>
            <w:r>
              <w:rPr>
                <w:rFonts w:ascii="宋体" w:hAnsi="宋体" w:eastAsia="宋体" w:cs="宋体"/>
                <w:kern w:val="0"/>
                <w:szCs w:val="21"/>
                <w:lang w:bidi="ar"/>
              </w:rPr>
              <w:t>2</w:t>
            </w:r>
            <w:r>
              <w:rPr>
                <w:rFonts w:hint="eastAsia" w:ascii="宋体" w:hAnsi="宋体" w:eastAsia="宋体" w:cs="宋体"/>
                <w:kern w:val="0"/>
                <w:szCs w:val="21"/>
                <w:lang w:bidi="ar"/>
              </w:rPr>
              <w:t>套控制系统，控制系统需隐藏，可单控，可双控，也可选择性控制。投标时需提供计量质量检测研究院出具的产品功能检测报告（体现远程控制功能及功率限定功能）</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1</w:t>
            </w:r>
            <w:r>
              <w:rPr>
                <w:rFonts w:ascii="宋体" w:hAnsi="宋体" w:eastAsia="宋体"/>
                <w:szCs w:val="21"/>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套</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r>
      <w:tr>
        <w:tblPrEx>
          <w:tblCellMar>
            <w:top w:w="0" w:type="dxa"/>
            <w:left w:w="0" w:type="dxa"/>
            <w:bottom w:w="0" w:type="dxa"/>
            <w:right w:w="0" w:type="dxa"/>
          </w:tblCellMar>
        </w:tblPrEx>
        <w:trPr>
          <w:trHeight w:val="558" w:hRule="atLeast"/>
          <w:jc w:val="center"/>
        </w:trPr>
        <w:tc>
          <w:tcPr>
            <w:tcW w:w="72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ascii="宋体" w:hAnsi="宋体" w:eastAsia="宋体" w:cs="宋体"/>
                <w:kern w:val="0"/>
                <w:szCs w:val="21"/>
                <w:lang w:bidi="ar"/>
              </w:rPr>
            </w:pPr>
            <w:r>
              <w:rPr>
                <w:rFonts w:hint="eastAsia" w:ascii="宋体" w:hAnsi="宋体" w:eastAsia="宋体" w:cs="宋体"/>
                <w:kern w:val="0"/>
                <w:szCs w:val="21"/>
                <w:lang w:bidi="ar"/>
              </w:rPr>
              <w:t>3</w:t>
            </w:r>
          </w:p>
        </w:tc>
        <w:tc>
          <w:tcPr>
            <w:tcW w:w="12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center"/>
              <w:rPr>
                <w:rFonts w:hint="eastAsia" w:ascii="宋体" w:hAnsi="宋体" w:eastAsia="宋体" w:cs="宋体"/>
                <w:kern w:val="0"/>
                <w:szCs w:val="21"/>
                <w:lang w:bidi="ar"/>
              </w:rPr>
            </w:pPr>
            <w:r>
              <w:rPr>
                <w:rFonts w:hint="eastAsia" w:ascii="宋体" w:hAnsi="宋体" w:eastAsia="宋体" w:cs="宋体"/>
                <w:kern w:val="0"/>
                <w:szCs w:val="21"/>
                <w:lang w:bidi="ar"/>
              </w:rPr>
              <w:t>电气线路</w:t>
            </w:r>
          </w:p>
        </w:tc>
        <w:tc>
          <w:tcPr>
            <w:tcW w:w="611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jc w:val="left"/>
              <w:rPr>
                <w:rFonts w:hint="eastAsia" w:ascii="宋体" w:hAnsi="宋体" w:eastAsia="宋体" w:cs="宋体"/>
                <w:kern w:val="0"/>
                <w:szCs w:val="21"/>
                <w:lang w:bidi="ar"/>
              </w:rPr>
            </w:pPr>
            <w:r>
              <w:rPr>
                <w:rFonts w:hint="eastAsia" w:ascii="宋体" w:hAnsi="宋体" w:eastAsia="宋体" w:cs="宋体"/>
                <w:kern w:val="0"/>
                <w:szCs w:val="21"/>
                <w:lang w:bidi="ar"/>
              </w:rPr>
              <w:t>电气布线符合国家相关用电规范，确保用电安全，满足使用需求。电缆及配件颜色与现场环境协调。投标人根据现场状况综合报价，中标后价格不作调整。</w:t>
            </w:r>
          </w:p>
        </w:tc>
        <w:tc>
          <w:tcPr>
            <w:tcW w:w="706"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1</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r>
              <w:rPr>
                <w:rFonts w:hint="eastAsia" w:ascii="宋体" w:hAnsi="宋体" w:eastAsia="宋体"/>
                <w:szCs w:val="21"/>
              </w:rPr>
              <w:t>项</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atLeast"/>
              <w:jc w:val="center"/>
              <w:rPr>
                <w:rFonts w:hint="eastAsia" w:ascii="宋体" w:hAnsi="宋体" w:eastAsia="宋体"/>
                <w:szCs w:val="21"/>
              </w:rPr>
            </w:pPr>
          </w:p>
        </w:tc>
      </w:tr>
      <w:tr>
        <w:tblPrEx>
          <w:tblCellMar>
            <w:top w:w="0" w:type="dxa"/>
            <w:left w:w="0" w:type="dxa"/>
            <w:bottom w:w="0" w:type="dxa"/>
            <w:right w:w="0" w:type="dxa"/>
          </w:tblCellMar>
        </w:tblPrEx>
        <w:trPr>
          <w:trHeight w:val="523" w:hRule="atLeast"/>
          <w:jc w:val="center"/>
        </w:trPr>
        <w:tc>
          <w:tcPr>
            <w:tcW w:w="9915" w:type="dxa"/>
            <w:gridSpan w:val="6"/>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cs="宋体"/>
                <w:kern w:val="0"/>
                <w:szCs w:val="21"/>
                <w:lang w:bidi="ar"/>
              </w:rPr>
            </w:pPr>
            <w:r>
              <w:rPr>
                <w:rFonts w:hint="eastAsia" w:ascii="宋体" w:hAnsi="宋体" w:eastAsia="宋体" w:cs="宋体"/>
                <w:kern w:val="0"/>
                <w:szCs w:val="21"/>
                <w:lang w:bidi="ar"/>
              </w:rPr>
              <w:t>合计</w:t>
            </w:r>
            <w:bookmarkStart w:id="0" w:name="_GoBack"/>
            <w:bookmarkEnd w:id="0"/>
          </w:p>
        </w:tc>
        <w:tc>
          <w:tcPr>
            <w:tcW w:w="56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center"/>
              <w:rPr>
                <w:rFonts w:hint="eastAsia" w:ascii="宋体" w:hAnsi="宋体" w:eastAsia="宋体" w:cs="宋体"/>
                <w:kern w:val="0"/>
                <w:szCs w:val="21"/>
                <w:lang w:bidi="ar"/>
              </w:rPr>
            </w:pPr>
          </w:p>
        </w:tc>
      </w:tr>
      <w:tr>
        <w:tblPrEx>
          <w:tblCellMar>
            <w:top w:w="0" w:type="dxa"/>
            <w:left w:w="0" w:type="dxa"/>
            <w:bottom w:w="0" w:type="dxa"/>
            <w:right w:w="0" w:type="dxa"/>
          </w:tblCellMar>
        </w:tblPrEx>
        <w:trPr>
          <w:trHeight w:val="523" w:hRule="atLeast"/>
          <w:jc w:val="center"/>
        </w:trPr>
        <w:tc>
          <w:tcPr>
            <w:tcW w:w="10482" w:type="dxa"/>
            <w:gridSpan w:val="7"/>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spacing w:line="300" w:lineRule="atLeast"/>
              <w:jc w:val="left"/>
              <w:rPr>
                <w:rFonts w:ascii="宋体" w:hAnsi="宋体" w:eastAsia="宋体"/>
                <w:szCs w:val="21"/>
              </w:rPr>
            </w:pPr>
            <w:r>
              <w:rPr>
                <w:rFonts w:hint="eastAsia" w:ascii="宋体" w:hAnsi="宋体" w:eastAsia="宋体" w:cs="宋体"/>
                <w:kern w:val="0"/>
                <w:szCs w:val="21"/>
                <w:lang w:bidi="ar"/>
              </w:rPr>
              <w:t>注：其他未注明零部件、配件、安装至屋顶所需的主辅材及安装、调试、培训等费用由投标人根据产品性能自行考虑，满足招标人使用需求，中标后价格不予调整。</w:t>
            </w:r>
          </w:p>
          <w:p>
            <w:pPr>
              <w:widowControl/>
              <w:spacing w:line="300" w:lineRule="atLeast"/>
              <w:jc w:val="left"/>
              <w:rPr>
                <w:rFonts w:ascii="宋体" w:hAnsi="宋体" w:eastAsia="宋体"/>
                <w:szCs w:val="21"/>
              </w:rPr>
            </w:pPr>
            <w:r>
              <w:rPr>
                <w:rFonts w:hint="eastAsia" w:ascii="宋体" w:hAnsi="宋体" w:eastAsia="宋体" w:cs="宋体"/>
                <w:kern w:val="0"/>
                <w:szCs w:val="21"/>
                <w:lang w:bidi="ar"/>
              </w:rPr>
              <w:t>1、供应商应以满足招标人使用需求的包括货物所涉及有关项目的所有费用进行报价，包括：货物制造、运输、测量、保险、安装、调试、培训、保修、所需零配件、验收、关税等一切费用。</w:t>
            </w:r>
          </w:p>
          <w:p>
            <w:pPr>
              <w:widowControl/>
              <w:spacing w:line="300" w:lineRule="atLeast"/>
              <w:jc w:val="left"/>
              <w:rPr>
                <w:rFonts w:hint="eastAsia" w:ascii="宋体" w:hAnsi="宋体" w:eastAsia="宋体" w:cs="宋体"/>
                <w:kern w:val="0"/>
                <w:szCs w:val="21"/>
                <w:lang w:bidi="ar"/>
              </w:rPr>
            </w:pPr>
            <w:r>
              <w:rPr>
                <w:rFonts w:hint="eastAsia" w:ascii="宋体" w:hAnsi="宋体" w:eastAsia="宋体" w:cs="宋体"/>
                <w:kern w:val="0"/>
                <w:szCs w:val="21"/>
                <w:lang w:bidi="ar"/>
              </w:rPr>
              <w:t>2、质量保证及保修期：以上所要求提供证明文件的原件均需在中标后签订合同前给采购人进行核验，项目完工验收合格之日起算至少2年保修期,终身维护。如因窗帘质量及安装原因导致的返修，成交人无条件立即给予维修，采购人不再为此向成交人支付费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hNDljOTA3NGJiZTQwZDk2ZGY5NGRmMTgwNWM3NTQifQ=="/>
  </w:docVars>
  <w:rsids>
    <w:rsidRoot w:val="00AC372F"/>
    <w:rsid w:val="000974A0"/>
    <w:rsid w:val="000A71D5"/>
    <w:rsid w:val="000F53AD"/>
    <w:rsid w:val="001C3053"/>
    <w:rsid w:val="001F4600"/>
    <w:rsid w:val="002745EA"/>
    <w:rsid w:val="002904FA"/>
    <w:rsid w:val="00303C37"/>
    <w:rsid w:val="003853C3"/>
    <w:rsid w:val="0041341A"/>
    <w:rsid w:val="004B3D0D"/>
    <w:rsid w:val="005A095D"/>
    <w:rsid w:val="005B3807"/>
    <w:rsid w:val="005B5BEA"/>
    <w:rsid w:val="005D4F66"/>
    <w:rsid w:val="006C3BBF"/>
    <w:rsid w:val="00714921"/>
    <w:rsid w:val="00830903"/>
    <w:rsid w:val="008D2D2C"/>
    <w:rsid w:val="00A21A7E"/>
    <w:rsid w:val="00A32DF5"/>
    <w:rsid w:val="00AB47CC"/>
    <w:rsid w:val="00AC372F"/>
    <w:rsid w:val="00AF4D92"/>
    <w:rsid w:val="00BB3786"/>
    <w:rsid w:val="00C52B98"/>
    <w:rsid w:val="00C530C7"/>
    <w:rsid w:val="00C5513D"/>
    <w:rsid w:val="00D00271"/>
    <w:rsid w:val="00D50956"/>
    <w:rsid w:val="00E95C32"/>
    <w:rsid w:val="00EA0079"/>
    <w:rsid w:val="00ED799A"/>
    <w:rsid w:val="00F33543"/>
    <w:rsid w:val="41B713A8"/>
    <w:rsid w:val="619E4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194</Words>
  <Characters>1108</Characters>
  <Lines>9</Lines>
  <Paragraphs>2</Paragraphs>
  <TotalTime>183</TotalTime>
  <ScaleCrop>false</ScaleCrop>
  <LinksUpToDate>false</LinksUpToDate>
  <CharactersWithSpaces>1300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2023-10-30T02:35:00Z</dcterms:created>
  <dc:creator>Lenovo</dc:creator>
  <cp:lastModifiedBy>品诺酒店用品</cp:lastModifiedBy>
  <dcterms:modified xsi:type="dcterms:W3CDTF">2023-12-22T06:44:46Z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0F4913451DB642F59AC272A60F6B5E32_12</vt:lpwstr>
  </property>
</Properties>
</file>