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仿宋_GBK" w:hAnsi="方正仿宋_GBK" w:cs="方正仿宋_GBK"/>
          <w:spacing w:val="-2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pacing w:val="-20"/>
          <w:szCs w:val="32"/>
        </w:rPr>
        <w:t>附件4</w:t>
      </w:r>
    </w:p>
    <w:p>
      <w:pPr>
        <w:spacing w:line="580" w:lineRule="exact"/>
        <w:jc w:val="center"/>
        <w:rPr>
          <w:rFonts w:hint="eastAsia" w:ascii="方正仿宋_GBK" w:hAnsi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cs="方正仿宋_GBK"/>
          <w:kern w:val="0"/>
          <w:sz w:val="28"/>
          <w:szCs w:val="28"/>
        </w:rPr>
        <w:t xml:space="preserve"> 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职业角色情景模拟评分标准表</w:t>
      </w:r>
    </w:p>
    <w:p>
      <w:pPr>
        <w:spacing w:line="580" w:lineRule="exact"/>
        <w:rPr>
          <w:rFonts w:hint="eastAsia" w:ascii="方正仿宋_GBK" w:hAnsi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cs="方正仿宋_GBK"/>
          <w:kern w:val="0"/>
          <w:sz w:val="28"/>
          <w:szCs w:val="28"/>
        </w:rPr>
        <w:t xml:space="preserve"> </w:t>
      </w:r>
    </w:p>
    <w:tbl>
      <w:tblPr>
        <w:tblStyle w:val="2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6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  <w:t>评分要点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  <w:t>具体描述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  <w:t>情景设计（20分）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情景设计逼真、道具使用合理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left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模拟内容及效果（40分）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left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职业模拟真实感强，显现职场精彩亮点、内容和表现力丰富，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  <w:t>基本素质（20分）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衣着整洁，仪表端庄，谈吐文雅，精神饱满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</w:rPr>
              <w:t>个人特色（20分）</w:t>
            </w:r>
          </w:p>
        </w:tc>
        <w:tc>
          <w:tcPr>
            <w:tcW w:w="6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职业符合自身鲜明特点，具有创造性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B7F1B"/>
    <w:rsid w:val="28356F18"/>
    <w:rsid w:val="5C5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2022-04-07T04:52:00Z</dcterms:created>
  <dc:creator>Fang</dc:creator>
  <cp:lastModifiedBy>Fang</cp:lastModifiedBy>
  <dcterms:modified xsi:type="dcterms:W3CDTF">2022-04-07T04:53:25Z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C3B45BA6F3E242919FF865F67474CB10</vt:lpwstr>
  </property>
</Properties>
</file>